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E8D6B" w14:textId="212959F7" w:rsidR="00526B08" w:rsidRDefault="00526B08" w:rsidP="006D0FE2">
      <w:pPr>
        <w:jc w:val="center"/>
        <w:outlineLvl w:val="0"/>
        <w:rPr>
          <w:iCs/>
        </w:rPr>
      </w:pPr>
      <w:r>
        <w:rPr>
          <w:b/>
          <w:noProof/>
          <w:sz w:val="32"/>
          <w:szCs w:val="20"/>
          <w:lang w:val="fr-FR"/>
        </w:rPr>
        <w:drawing>
          <wp:anchor distT="0" distB="0" distL="114300" distR="114300" simplePos="0" relativeHeight="251662336" behindDoc="0" locked="0" layoutInCell="1" allowOverlap="1" wp14:anchorId="74BC8232" wp14:editId="36D1053B">
            <wp:simplePos x="0" y="0"/>
            <wp:positionH relativeFrom="margin">
              <wp:posOffset>3556000</wp:posOffset>
            </wp:positionH>
            <wp:positionV relativeFrom="paragraph">
              <wp:posOffset>0</wp:posOffset>
            </wp:positionV>
            <wp:extent cx="2162175" cy="1056005"/>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175" cy="1056005"/>
                    </a:xfrm>
                    <a:prstGeom prst="rect">
                      <a:avLst/>
                    </a:prstGeom>
                  </pic:spPr>
                </pic:pic>
              </a:graphicData>
            </a:graphic>
            <wp14:sizeRelH relativeFrom="margin">
              <wp14:pctWidth>0</wp14:pctWidth>
            </wp14:sizeRelH>
            <wp14:sizeRelV relativeFrom="margin">
              <wp14:pctHeight>0</wp14:pctHeight>
            </wp14:sizeRelV>
          </wp:anchor>
        </w:drawing>
      </w:r>
      <w:r w:rsidRPr="008573A0">
        <w:rPr>
          <w:b/>
          <w:noProof/>
          <w:sz w:val="32"/>
          <w:szCs w:val="20"/>
          <w:lang w:val="fr-FR"/>
        </w:rPr>
        <w:drawing>
          <wp:anchor distT="0" distB="0" distL="114300" distR="114300" simplePos="0" relativeHeight="251660288" behindDoc="0" locked="0" layoutInCell="1" allowOverlap="1" wp14:anchorId="01B0AC95" wp14:editId="57A8C47C">
            <wp:simplePos x="0" y="0"/>
            <wp:positionH relativeFrom="column">
              <wp:posOffset>-354330</wp:posOffset>
            </wp:positionH>
            <wp:positionV relativeFrom="page">
              <wp:posOffset>577850</wp:posOffset>
            </wp:positionV>
            <wp:extent cx="2238375" cy="866775"/>
            <wp:effectExtent l="0" t="0" r="9525" b="9525"/>
            <wp:wrapNone/>
            <wp:docPr id="1" name="Picture 1" descr="EDHEC-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HEC-Logo-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375" cy="866775"/>
                    </a:xfrm>
                    <a:prstGeom prst="rect">
                      <a:avLst/>
                    </a:prstGeom>
                    <a:noFill/>
                    <a:ln w="9525">
                      <a:noFill/>
                      <a:miter lim="800000"/>
                      <a:headEnd/>
                      <a:tailEnd/>
                    </a:ln>
                  </pic:spPr>
                </pic:pic>
              </a:graphicData>
            </a:graphic>
          </wp:anchor>
        </w:drawing>
      </w:r>
    </w:p>
    <w:p w14:paraId="3F4EA38A" w14:textId="77777777" w:rsidR="00526B08" w:rsidRDefault="00526B08" w:rsidP="006D0FE2">
      <w:pPr>
        <w:jc w:val="center"/>
        <w:outlineLvl w:val="0"/>
        <w:rPr>
          <w:iCs/>
        </w:rPr>
      </w:pPr>
    </w:p>
    <w:p w14:paraId="3F850F9E" w14:textId="77777777" w:rsidR="002D4270" w:rsidRPr="008573A0" w:rsidRDefault="002D4270" w:rsidP="0006559F">
      <w:pPr>
        <w:pStyle w:val="En-tte"/>
        <w:tabs>
          <w:tab w:val="clear" w:pos="4536"/>
          <w:tab w:val="clear" w:pos="9072"/>
          <w:tab w:val="right" w:pos="9000"/>
        </w:tabs>
        <w:rPr>
          <w:b/>
          <w:bCs/>
          <w:sz w:val="24"/>
          <w:szCs w:val="24"/>
        </w:rPr>
      </w:pPr>
    </w:p>
    <w:p w14:paraId="6EB5064C" w14:textId="4A6D1665" w:rsidR="00CA7954" w:rsidRPr="008573A0" w:rsidRDefault="00CA7954" w:rsidP="0006559F">
      <w:pPr>
        <w:pStyle w:val="En-tte"/>
        <w:tabs>
          <w:tab w:val="clear" w:pos="4536"/>
          <w:tab w:val="clear" w:pos="9072"/>
          <w:tab w:val="right" w:pos="9000"/>
        </w:tabs>
        <w:rPr>
          <w:b/>
          <w:snapToGrid w:val="0"/>
          <w:color w:val="000000"/>
          <w:sz w:val="24"/>
        </w:rPr>
      </w:pPr>
      <w:r w:rsidRPr="008573A0">
        <w:rPr>
          <w:b/>
          <w:bCs/>
          <w:sz w:val="24"/>
          <w:szCs w:val="24"/>
        </w:rPr>
        <w:t>Press Release</w:t>
      </w:r>
      <w:r w:rsidRPr="008573A0">
        <w:rPr>
          <w:b/>
          <w:bCs/>
          <w:sz w:val="24"/>
          <w:szCs w:val="24"/>
        </w:rPr>
        <w:tab/>
      </w:r>
      <w:r w:rsidR="00AC7952" w:rsidRPr="008573A0">
        <w:rPr>
          <w:b/>
          <w:bCs/>
          <w:sz w:val="24"/>
          <w:szCs w:val="24"/>
        </w:rPr>
        <w:t xml:space="preserve">London, </w:t>
      </w:r>
      <w:r w:rsidR="00AC7952" w:rsidRPr="008573A0">
        <w:rPr>
          <w:b/>
          <w:snapToGrid w:val="0"/>
          <w:color w:val="000000"/>
          <w:sz w:val="24"/>
        </w:rPr>
        <w:t>Nice, Paris,</w:t>
      </w:r>
      <w:r w:rsidR="001F5E8D">
        <w:rPr>
          <w:b/>
          <w:snapToGrid w:val="0"/>
          <w:color w:val="000000"/>
          <w:sz w:val="24"/>
        </w:rPr>
        <w:t xml:space="preserve"> </w:t>
      </w:r>
      <w:r w:rsidR="00526B08">
        <w:rPr>
          <w:b/>
          <w:snapToGrid w:val="0"/>
          <w:color w:val="000000"/>
          <w:sz w:val="24"/>
        </w:rPr>
        <w:t xml:space="preserve">28 </w:t>
      </w:r>
      <w:r w:rsidR="000354A2">
        <w:rPr>
          <w:b/>
          <w:snapToGrid w:val="0"/>
          <w:color w:val="000000"/>
          <w:sz w:val="24"/>
        </w:rPr>
        <w:t xml:space="preserve">June </w:t>
      </w:r>
      <w:r w:rsidR="00BE2632" w:rsidRPr="008573A0">
        <w:rPr>
          <w:b/>
          <w:snapToGrid w:val="0"/>
          <w:color w:val="000000"/>
          <w:sz w:val="24"/>
        </w:rPr>
        <w:t>20</w:t>
      </w:r>
      <w:r w:rsidR="001F5E8D">
        <w:rPr>
          <w:b/>
          <w:snapToGrid w:val="0"/>
          <w:color w:val="000000"/>
          <w:sz w:val="24"/>
        </w:rPr>
        <w:t>21</w:t>
      </w:r>
    </w:p>
    <w:p w14:paraId="31BF9303" w14:textId="77777777" w:rsidR="006349B3" w:rsidRPr="008573A0" w:rsidRDefault="006349B3" w:rsidP="00DA4522">
      <w:pPr>
        <w:spacing w:before="120"/>
        <w:jc w:val="center"/>
        <w:outlineLvl w:val="0"/>
        <w:rPr>
          <w:iCs/>
        </w:rPr>
      </w:pPr>
    </w:p>
    <w:p w14:paraId="1D77A83E" w14:textId="77777777" w:rsidR="00F0558F" w:rsidRDefault="00F0558F" w:rsidP="00280127">
      <w:pPr>
        <w:autoSpaceDE w:val="0"/>
        <w:autoSpaceDN w:val="0"/>
        <w:adjustRightInd w:val="0"/>
        <w:jc w:val="center"/>
        <w:rPr>
          <w:b/>
          <w:iCs/>
          <w:sz w:val="32"/>
          <w:szCs w:val="32"/>
        </w:rPr>
      </w:pPr>
    </w:p>
    <w:p w14:paraId="57AA3E14" w14:textId="4DC2E4FE" w:rsidR="00927623" w:rsidRPr="00046C12" w:rsidRDefault="001F5E8D" w:rsidP="00483DBE">
      <w:pPr>
        <w:pStyle w:val="Commentaire"/>
        <w:jc w:val="center"/>
        <w:rPr>
          <w:lang w:val="en-US"/>
        </w:rPr>
      </w:pPr>
      <w:r>
        <w:rPr>
          <w:b/>
          <w:iCs/>
          <w:sz w:val="32"/>
          <w:szCs w:val="32"/>
        </w:rPr>
        <w:t>New study shows</w:t>
      </w:r>
      <w:r w:rsidR="00927623">
        <w:rPr>
          <w:b/>
          <w:iCs/>
          <w:sz w:val="32"/>
          <w:szCs w:val="32"/>
        </w:rPr>
        <w:t xml:space="preserve"> </w:t>
      </w:r>
      <w:r w:rsidR="00927623" w:rsidRPr="00927623">
        <w:rPr>
          <w:b/>
          <w:iCs/>
          <w:sz w:val="32"/>
          <w:szCs w:val="32"/>
        </w:rPr>
        <w:t xml:space="preserve">that </w:t>
      </w:r>
      <w:r w:rsidR="00526B08">
        <w:rPr>
          <w:b/>
          <w:iCs/>
          <w:sz w:val="32"/>
          <w:szCs w:val="32"/>
        </w:rPr>
        <w:t xml:space="preserve">10 SCPIs are enough </w:t>
      </w:r>
      <w:r w:rsidR="00526B08" w:rsidRPr="00526B08">
        <w:rPr>
          <w:b/>
          <w:iCs/>
          <w:sz w:val="32"/>
          <w:szCs w:val="32"/>
        </w:rPr>
        <w:t>to capture 88% of the benefits of diversification</w:t>
      </w:r>
      <w:r w:rsidR="00526B08">
        <w:rPr>
          <w:b/>
          <w:iCs/>
          <w:sz w:val="32"/>
          <w:szCs w:val="32"/>
        </w:rPr>
        <w:t xml:space="preserve"> </w:t>
      </w:r>
    </w:p>
    <w:p w14:paraId="0A5101CD" w14:textId="77777777" w:rsidR="00280127" w:rsidRDefault="00280127" w:rsidP="00BD010F">
      <w:pPr>
        <w:autoSpaceDE w:val="0"/>
        <w:autoSpaceDN w:val="0"/>
        <w:adjustRightInd w:val="0"/>
        <w:jc w:val="center"/>
        <w:rPr>
          <w:b/>
          <w:iCs/>
          <w:sz w:val="32"/>
          <w:szCs w:val="32"/>
        </w:rPr>
      </w:pPr>
    </w:p>
    <w:p w14:paraId="60BECF9E" w14:textId="77777777" w:rsidR="00D631EA" w:rsidRPr="008573A0" w:rsidRDefault="00D631EA" w:rsidP="007F10A3">
      <w:pPr>
        <w:autoSpaceDE w:val="0"/>
        <w:autoSpaceDN w:val="0"/>
        <w:adjustRightInd w:val="0"/>
        <w:jc w:val="both"/>
        <w:rPr>
          <w:rFonts w:cs="Arial"/>
          <w:szCs w:val="22"/>
        </w:rPr>
      </w:pPr>
    </w:p>
    <w:p w14:paraId="7F96AF7F" w14:textId="77777777" w:rsidR="00510B9B" w:rsidRDefault="00A85C94" w:rsidP="00AC39F0">
      <w:pPr>
        <w:spacing w:line="280" w:lineRule="atLeast"/>
        <w:jc w:val="both"/>
        <w:rPr>
          <w:rFonts w:cstheme="minorHAnsi"/>
        </w:rPr>
      </w:pPr>
      <w:r w:rsidRPr="00A85C94">
        <w:rPr>
          <w:szCs w:val="22"/>
        </w:rPr>
        <w:t xml:space="preserve">Real estate has become an essential part of institutional investment portfolios and is now established as a source of diversification and </w:t>
      </w:r>
      <w:r w:rsidR="00B5126E">
        <w:rPr>
          <w:szCs w:val="22"/>
        </w:rPr>
        <w:t xml:space="preserve">added value </w:t>
      </w:r>
      <w:r w:rsidRPr="00A85C94">
        <w:rPr>
          <w:szCs w:val="22"/>
        </w:rPr>
        <w:t>in the context of multi-class portfolio construction.</w:t>
      </w:r>
      <w:r w:rsidR="00DF65EC" w:rsidRPr="00DF65EC">
        <w:t xml:space="preserve"> </w:t>
      </w:r>
      <w:r w:rsidR="001114D8">
        <w:t>A</w:t>
      </w:r>
      <w:r w:rsidR="001114D8" w:rsidRPr="001114D8">
        <w:t xml:space="preserve"> variety of real estate investment vehicles have been designed over time to match investors’ needs and provide solutions to the challenges that are typical of direct investing.</w:t>
      </w:r>
      <w:r w:rsidR="001114D8" w:rsidRPr="001114D8">
        <w:rPr>
          <w:rFonts w:cstheme="minorHAnsi"/>
          <w:lang w:bidi="en-US"/>
        </w:rPr>
        <w:t xml:space="preserve"> </w:t>
      </w:r>
      <w:r w:rsidR="001114D8" w:rsidRPr="00FD00A3">
        <w:rPr>
          <w:rFonts w:cstheme="minorHAnsi"/>
          <w:lang w:bidi="en-US"/>
        </w:rPr>
        <w:t>The use of non-listed real estate collective investment schemes has been widely explored and analysed in</w:t>
      </w:r>
      <w:r w:rsidR="001114D8">
        <w:rPr>
          <w:rFonts w:cstheme="minorHAnsi"/>
          <w:lang w:bidi="en-US"/>
        </w:rPr>
        <w:t xml:space="preserve"> academic and industry research but </w:t>
      </w:r>
      <w:r w:rsidR="001114D8" w:rsidRPr="00FD00A3">
        <w:rPr>
          <w:rFonts w:cstheme="minorHAnsi"/>
        </w:rPr>
        <w:t>there is no published research focusing on French non-listed real estate</w:t>
      </w:r>
      <w:r w:rsidR="0018701E">
        <w:rPr>
          <w:rFonts w:cstheme="minorHAnsi"/>
        </w:rPr>
        <w:t xml:space="preserve"> </w:t>
      </w:r>
      <w:r w:rsidR="001114D8" w:rsidRPr="00FD00A3">
        <w:rPr>
          <w:rFonts w:cstheme="minorHAnsi"/>
        </w:rPr>
        <w:t>vehicles to the notable exception of Schoeffler (2020)</w:t>
      </w:r>
      <w:r w:rsidR="004306A9">
        <w:rPr>
          <w:rStyle w:val="Appelnotedebasdep"/>
        </w:rPr>
        <w:footnoteReference w:id="1"/>
      </w:r>
      <w:r w:rsidR="001114D8">
        <w:rPr>
          <w:rFonts w:cstheme="minorHAnsi"/>
        </w:rPr>
        <w:t>.</w:t>
      </w:r>
      <w:r w:rsidR="00AC39F0">
        <w:rPr>
          <w:rFonts w:cstheme="minorHAnsi"/>
        </w:rPr>
        <w:t xml:space="preserve"> </w:t>
      </w:r>
    </w:p>
    <w:p w14:paraId="361B7702" w14:textId="77777777" w:rsidR="00510B9B" w:rsidRDefault="00510B9B" w:rsidP="00AC39F0">
      <w:pPr>
        <w:spacing w:line="280" w:lineRule="atLeast"/>
        <w:jc w:val="both"/>
        <w:rPr>
          <w:rFonts w:cstheme="minorHAnsi"/>
        </w:rPr>
      </w:pPr>
    </w:p>
    <w:p w14:paraId="15B73505" w14:textId="6800FAD3" w:rsidR="00AC39F0" w:rsidRDefault="00AC39F0" w:rsidP="00AC39F0">
      <w:pPr>
        <w:spacing w:line="280" w:lineRule="atLeast"/>
        <w:jc w:val="both"/>
        <w:rPr>
          <w:szCs w:val="22"/>
        </w:rPr>
      </w:pPr>
      <w:r w:rsidRPr="00AC39F0">
        <w:rPr>
          <w:rFonts w:cstheme="minorHAnsi"/>
        </w:rPr>
        <w:t xml:space="preserve">The regulated French investment vehicle known as Société Civile de Placement Immobilier (SCPI) </w:t>
      </w:r>
      <w:r>
        <w:rPr>
          <w:rFonts w:cstheme="minorHAnsi"/>
        </w:rPr>
        <w:t xml:space="preserve">is of particular interest </w:t>
      </w:r>
      <w:r w:rsidR="00380DE1">
        <w:rPr>
          <w:rFonts w:cstheme="minorHAnsi"/>
        </w:rPr>
        <w:t xml:space="preserve">and more specifically </w:t>
      </w:r>
      <w:r>
        <w:rPr>
          <w:rFonts w:cstheme="minorHAnsi"/>
        </w:rPr>
        <w:t>t</w:t>
      </w:r>
      <w:r w:rsidRPr="00AC39F0">
        <w:rPr>
          <w:rFonts w:cstheme="minorHAnsi"/>
        </w:rPr>
        <w:t xml:space="preserve">he </w:t>
      </w:r>
      <w:r>
        <w:rPr>
          <w:rFonts w:cstheme="minorHAnsi"/>
        </w:rPr>
        <w:t xml:space="preserve">commercial </w:t>
      </w:r>
      <w:r w:rsidR="00380DE1">
        <w:rPr>
          <w:rFonts w:cstheme="minorHAnsi"/>
        </w:rPr>
        <w:t xml:space="preserve">SCPI market, which </w:t>
      </w:r>
      <w:r w:rsidRPr="00AC39F0">
        <w:rPr>
          <w:rFonts w:cstheme="minorHAnsi"/>
        </w:rPr>
        <w:t xml:space="preserve">experienced double-digit growth </w:t>
      </w:r>
      <w:r>
        <w:rPr>
          <w:szCs w:val="22"/>
        </w:rPr>
        <w:t>over the last 10 years</w:t>
      </w:r>
      <w:r w:rsidRPr="00DF65EC">
        <w:rPr>
          <w:szCs w:val="22"/>
        </w:rPr>
        <w:t>, with AUM almost quadrupling to reach EUR 67bn by the end of 2020</w:t>
      </w:r>
      <w:r>
        <w:rPr>
          <w:szCs w:val="22"/>
        </w:rPr>
        <w:t xml:space="preserve">. </w:t>
      </w:r>
    </w:p>
    <w:p w14:paraId="6A517679" w14:textId="493C3555" w:rsidR="00A85C94" w:rsidRDefault="00A85C94" w:rsidP="00A85C94">
      <w:pPr>
        <w:spacing w:line="280" w:lineRule="atLeast"/>
        <w:jc w:val="both"/>
        <w:rPr>
          <w:szCs w:val="22"/>
        </w:rPr>
      </w:pPr>
    </w:p>
    <w:p w14:paraId="110EDD07" w14:textId="2735DB1E" w:rsidR="008D1C9C" w:rsidRDefault="008D1C9C" w:rsidP="00BD010F">
      <w:pPr>
        <w:spacing w:line="280" w:lineRule="atLeast"/>
        <w:jc w:val="both"/>
        <w:rPr>
          <w:szCs w:val="22"/>
        </w:rPr>
      </w:pPr>
      <w:r>
        <w:rPr>
          <w:szCs w:val="22"/>
        </w:rPr>
        <w:t xml:space="preserve">In a new publication </w:t>
      </w:r>
      <w:r w:rsidRPr="008D1C9C">
        <w:rPr>
          <w:szCs w:val="22"/>
        </w:rPr>
        <w:t>“</w:t>
      </w:r>
      <w:r w:rsidR="00455285" w:rsidRPr="00455285">
        <w:rPr>
          <w:szCs w:val="22"/>
          <w:u w:val="single"/>
        </w:rPr>
        <w:t xml:space="preserve">Benefits of Open Architecture and Multi-Management in Real Estate Markets— Evidence from French </w:t>
      </w:r>
      <w:proofErr w:type="spellStart"/>
      <w:r w:rsidR="00455285" w:rsidRPr="00455285">
        <w:rPr>
          <w:szCs w:val="22"/>
          <w:u w:val="single"/>
        </w:rPr>
        <w:t>Nonlisted</w:t>
      </w:r>
      <w:proofErr w:type="spellEnd"/>
      <w:r w:rsidR="00455285" w:rsidRPr="00455285">
        <w:rPr>
          <w:szCs w:val="22"/>
          <w:u w:val="single"/>
        </w:rPr>
        <w:t xml:space="preserve"> Investment Trusts</w:t>
      </w:r>
      <w:r w:rsidRPr="008D1C9C">
        <w:rPr>
          <w:szCs w:val="22"/>
        </w:rPr>
        <w:t xml:space="preserve">”, EDHEC-Risk Institute, </w:t>
      </w:r>
      <w:r w:rsidR="00C96DA4">
        <w:rPr>
          <w:szCs w:val="22"/>
        </w:rPr>
        <w:t>in partnership</w:t>
      </w:r>
      <w:r w:rsidRPr="008D1C9C">
        <w:rPr>
          <w:szCs w:val="22"/>
        </w:rPr>
        <w:t xml:space="preserve"> </w:t>
      </w:r>
      <w:r w:rsidR="002864F7">
        <w:rPr>
          <w:szCs w:val="22"/>
        </w:rPr>
        <w:t xml:space="preserve">with </w:t>
      </w:r>
      <w:r>
        <w:rPr>
          <w:szCs w:val="22"/>
        </w:rPr>
        <w:t>Swiss Life Asset Managers France</w:t>
      </w:r>
      <w:r w:rsidRPr="008D1C9C">
        <w:rPr>
          <w:szCs w:val="22"/>
        </w:rPr>
        <w:t>,</w:t>
      </w:r>
      <w:r w:rsidR="00DF0D6E">
        <w:rPr>
          <w:szCs w:val="22"/>
        </w:rPr>
        <w:t xml:space="preserve"> </w:t>
      </w:r>
      <w:r w:rsidR="00D569E3" w:rsidRPr="00B41979">
        <w:rPr>
          <w:b/>
          <w:szCs w:val="22"/>
        </w:rPr>
        <w:t xml:space="preserve">assess whether </w:t>
      </w:r>
      <w:r w:rsidR="00D2492F">
        <w:rPr>
          <w:b/>
          <w:szCs w:val="22"/>
        </w:rPr>
        <w:t>modern</w:t>
      </w:r>
      <w:r w:rsidR="00D2492F" w:rsidRPr="00B41979">
        <w:rPr>
          <w:b/>
          <w:szCs w:val="22"/>
        </w:rPr>
        <w:t xml:space="preserve"> </w:t>
      </w:r>
      <w:r w:rsidR="00D569E3" w:rsidRPr="00B41979">
        <w:rPr>
          <w:b/>
          <w:szCs w:val="22"/>
        </w:rPr>
        <w:t>investment management techniques such as fund selection and portfolio allocation can be applied to the SCPI universe</w:t>
      </w:r>
      <w:r w:rsidR="00DF0D6E">
        <w:rPr>
          <w:rStyle w:val="Appelnotedebasdep"/>
          <w:b/>
          <w:szCs w:val="22"/>
        </w:rPr>
        <w:footnoteReference w:id="2"/>
      </w:r>
      <w:r w:rsidR="00D569E3" w:rsidRPr="00B41979">
        <w:rPr>
          <w:b/>
          <w:szCs w:val="22"/>
        </w:rPr>
        <w:t xml:space="preserve"> and create value</w:t>
      </w:r>
      <w:r w:rsidR="00D569E3" w:rsidRPr="008D1C9C">
        <w:rPr>
          <w:szCs w:val="22"/>
        </w:rPr>
        <w:t xml:space="preserve"> for an investor wishing to be exposed to French non-listed commercial real estate</w:t>
      </w:r>
      <w:r w:rsidR="00D569E3" w:rsidRPr="0041033C">
        <w:rPr>
          <w:szCs w:val="22"/>
        </w:rPr>
        <w:t>.</w:t>
      </w:r>
    </w:p>
    <w:p w14:paraId="07F189F8" w14:textId="77777777" w:rsidR="00D569E3" w:rsidRDefault="00D569E3" w:rsidP="00BD010F">
      <w:pPr>
        <w:spacing w:line="280" w:lineRule="atLeast"/>
        <w:jc w:val="both"/>
        <w:rPr>
          <w:szCs w:val="22"/>
        </w:rPr>
      </w:pPr>
    </w:p>
    <w:p w14:paraId="3C3EFD51" w14:textId="39B9988D" w:rsidR="00813442" w:rsidRDefault="00813442" w:rsidP="00813442">
      <w:pPr>
        <w:spacing w:line="280" w:lineRule="atLeast"/>
        <w:jc w:val="both"/>
        <w:rPr>
          <w:snapToGrid w:val="0"/>
          <w:color w:val="000000"/>
          <w:szCs w:val="22"/>
        </w:rPr>
      </w:pPr>
      <w:r>
        <w:rPr>
          <w:snapToGrid w:val="0"/>
          <w:color w:val="000000"/>
          <w:szCs w:val="22"/>
        </w:rPr>
        <w:t>K</w:t>
      </w:r>
      <w:r w:rsidRPr="00783F5D">
        <w:rPr>
          <w:snapToGrid w:val="0"/>
          <w:color w:val="000000"/>
          <w:szCs w:val="22"/>
        </w:rPr>
        <w:t xml:space="preserve">ey findings of the </w:t>
      </w:r>
      <w:r>
        <w:rPr>
          <w:snapToGrid w:val="0"/>
          <w:color w:val="000000"/>
          <w:szCs w:val="22"/>
        </w:rPr>
        <w:t>report</w:t>
      </w:r>
      <w:r w:rsidR="00DF0D6E">
        <w:rPr>
          <w:rStyle w:val="Appelnotedebasdep"/>
          <w:snapToGrid w:val="0"/>
          <w:color w:val="000000"/>
          <w:szCs w:val="22"/>
        </w:rPr>
        <w:footnoteReference w:id="3"/>
      </w:r>
      <w:r>
        <w:rPr>
          <w:snapToGrid w:val="0"/>
          <w:color w:val="000000"/>
          <w:szCs w:val="22"/>
        </w:rPr>
        <w:t xml:space="preserve"> include</w:t>
      </w:r>
      <w:r w:rsidR="00AF41E9">
        <w:rPr>
          <w:snapToGrid w:val="0"/>
          <w:color w:val="000000"/>
          <w:szCs w:val="22"/>
        </w:rPr>
        <w:t xml:space="preserve"> </w:t>
      </w:r>
      <w:r>
        <w:rPr>
          <w:snapToGrid w:val="0"/>
          <w:color w:val="000000"/>
          <w:szCs w:val="22"/>
        </w:rPr>
        <w:t>the following</w:t>
      </w:r>
      <w:r w:rsidRPr="00783F5D">
        <w:rPr>
          <w:snapToGrid w:val="0"/>
          <w:color w:val="000000"/>
          <w:szCs w:val="22"/>
        </w:rPr>
        <w:t>:</w:t>
      </w:r>
    </w:p>
    <w:p w14:paraId="27C74B1E" w14:textId="23997EF0" w:rsidR="00813442" w:rsidRDefault="00813442" w:rsidP="00813442">
      <w:pPr>
        <w:spacing w:line="280" w:lineRule="atLeast"/>
        <w:jc w:val="both"/>
        <w:rPr>
          <w:snapToGrid w:val="0"/>
          <w:color w:val="000000"/>
          <w:szCs w:val="22"/>
        </w:rPr>
      </w:pPr>
    </w:p>
    <w:p w14:paraId="5BC031C8" w14:textId="01622643" w:rsidR="00115192" w:rsidRDefault="00813442" w:rsidP="00813442">
      <w:pPr>
        <w:pStyle w:val="Titre1"/>
        <w:ind w:left="431" w:hanging="431"/>
        <w:jc w:val="left"/>
        <w:rPr>
          <w:rFonts w:ascii="Times New Roman" w:hAnsi="Times New Roman"/>
          <w:b w:val="0"/>
          <w:bCs w:val="0"/>
          <w:i/>
          <w:snapToGrid w:val="0"/>
          <w:color w:val="000000"/>
        </w:rPr>
      </w:pPr>
      <w:bookmarkStart w:id="0" w:name="_Toc67914750"/>
      <w:r w:rsidRPr="00813442">
        <w:rPr>
          <w:rFonts w:ascii="Times New Roman" w:hAnsi="Times New Roman"/>
          <w:b w:val="0"/>
          <w:bCs w:val="0"/>
          <w:i/>
          <w:snapToGrid w:val="0"/>
          <w:color w:val="000000"/>
        </w:rPr>
        <w:t xml:space="preserve">SCPI </w:t>
      </w:r>
      <w:r>
        <w:rPr>
          <w:rFonts w:ascii="Times New Roman" w:hAnsi="Times New Roman"/>
          <w:b w:val="0"/>
          <w:bCs w:val="0"/>
          <w:i/>
          <w:snapToGrid w:val="0"/>
          <w:color w:val="000000"/>
        </w:rPr>
        <w:t>RISK AND PER</w:t>
      </w:r>
      <w:r w:rsidR="008071FB">
        <w:rPr>
          <w:rFonts w:ascii="Times New Roman" w:hAnsi="Times New Roman"/>
          <w:b w:val="0"/>
          <w:bCs w:val="0"/>
          <w:i/>
          <w:snapToGrid w:val="0"/>
          <w:color w:val="000000"/>
        </w:rPr>
        <w:t>F</w:t>
      </w:r>
      <w:r>
        <w:rPr>
          <w:rFonts w:ascii="Times New Roman" w:hAnsi="Times New Roman"/>
          <w:b w:val="0"/>
          <w:bCs w:val="0"/>
          <w:i/>
          <w:snapToGrid w:val="0"/>
          <w:color w:val="000000"/>
        </w:rPr>
        <w:t>ORMANCE ANALYSIS</w:t>
      </w:r>
    </w:p>
    <w:p w14:paraId="350B806D" w14:textId="70BBD564" w:rsidR="001F5E8D" w:rsidRDefault="001F5E8D" w:rsidP="001F5E8D"/>
    <w:p w14:paraId="4A13C92C" w14:textId="77777777" w:rsidR="00B956F4" w:rsidRPr="00B956F4" w:rsidRDefault="000C54E5" w:rsidP="0028620D">
      <w:pPr>
        <w:pStyle w:val="Paragraphedeliste"/>
        <w:numPr>
          <w:ilvl w:val="0"/>
          <w:numId w:val="11"/>
        </w:numPr>
      </w:pPr>
      <w:r>
        <w:rPr>
          <w:szCs w:val="22"/>
        </w:rPr>
        <w:t>A</w:t>
      </w:r>
      <w:r w:rsidR="001F5E8D" w:rsidRPr="001F5E8D">
        <w:rPr>
          <w:szCs w:val="22"/>
        </w:rPr>
        <w:t xml:space="preserve">nalysis of the time-series performance of </w:t>
      </w:r>
      <w:r w:rsidR="00E3241D">
        <w:rPr>
          <w:szCs w:val="22"/>
        </w:rPr>
        <w:t xml:space="preserve">the </w:t>
      </w:r>
      <w:r w:rsidR="00E23E73" w:rsidRPr="00E23E73">
        <w:rPr>
          <w:szCs w:val="22"/>
        </w:rPr>
        <w:t xml:space="preserve">EDHEC IEIF Commercial Property (France) Index </w:t>
      </w:r>
      <w:r w:rsidR="001F5E8D" w:rsidRPr="001F5E8D">
        <w:rPr>
          <w:szCs w:val="22"/>
        </w:rPr>
        <w:t>shows over 75% of the index’s total return throughout the period is explained by dividend distribution, which is consistent with the purpose of SCPIs as rental income-generating vehicles.</w:t>
      </w:r>
    </w:p>
    <w:p w14:paraId="5163A304" w14:textId="6AD6B612" w:rsidR="00115192" w:rsidRPr="00B956F4" w:rsidRDefault="005D45BC" w:rsidP="0028620D">
      <w:pPr>
        <w:pStyle w:val="Paragraphedeliste"/>
        <w:numPr>
          <w:ilvl w:val="0"/>
          <w:numId w:val="11"/>
        </w:numPr>
      </w:pPr>
      <w:r w:rsidRPr="00B956F4">
        <w:t>Despite being the largest contributor to total return, the dividend yield plays little role in differentiating across SCPIs’ performances; the marginal contributions of price return and</w:t>
      </w:r>
      <w:r w:rsidR="001C70E1" w:rsidRPr="00B956F4">
        <w:t xml:space="preserve"> </w:t>
      </w:r>
      <w:r w:rsidRPr="00B956F4">
        <w:lastRenderedPageBreak/>
        <w:t xml:space="preserve">dividend yield </w:t>
      </w:r>
      <w:r w:rsidR="003958B1" w:rsidRPr="00B956F4">
        <w:t xml:space="preserve">to the </w:t>
      </w:r>
      <w:r w:rsidR="00441E8E" w:rsidRPr="00B956F4">
        <w:t xml:space="preserve">dispersion </w:t>
      </w:r>
      <w:r w:rsidR="00DF1810" w:rsidRPr="00B956F4">
        <w:t xml:space="preserve">in performance </w:t>
      </w:r>
      <w:r w:rsidR="00441E8E" w:rsidRPr="00B956F4">
        <w:t>across SCPIs</w:t>
      </w:r>
      <w:r w:rsidR="003C46B1">
        <w:rPr>
          <w:rStyle w:val="Appelnotedebasdep"/>
        </w:rPr>
        <w:footnoteReference w:id="4"/>
      </w:r>
      <w:r w:rsidR="00441E8E" w:rsidRPr="00B956F4">
        <w:t xml:space="preserve"> </w:t>
      </w:r>
      <w:r w:rsidRPr="00B956F4">
        <w:t>are re</w:t>
      </w:r>
      <w:r w:rsidR="005271C3" w:rsidRPr="00B956F4">
        <w:t>spectively equal to 89% and 11%;</w:t>
      </w:r>
    </w:p>
    <w:p w14:paraId="55593120" w14:textId="322482F3" w:rsidR="001F5E8D" w:rsidRDefault="005271C3" w:rsidP="001F5E8D">
      <w:pPr>
        <w:pStyle w:val="Paragraphedeliste"/>
        <w:numPr>
          <w:ilvl w:val="0"/>
          <w:numId w:val="11"/>
        </w:numPr>
        <w:spacing w:line="259" w:lineRule="auto"/>
        <w:contextualSpacing w:val="0"/>
      </w:pPr>
      <w:r w:rsidRPr="00FD00A3">
        <w:rPr>
          <w:lang w:bidi="en-US"/>
        </w:rPr>
        <w:t xml:space="preserve">The </w:t>
      </w:r>
      <w:r w:rsidRPr="004D170E">
        <w:rPr>
          <w:b/>
          <w:lang w:bidi="en-US"/>
        </w:rPr>
        <w:t xml:space="preserve">main driver of </w:t>
      </w:r>
      <w:r w:rsidR="00683FD7">
        <w:rPr>
          <w:b/>
          <w:lang w:bidi="en-US"/>
        </w:rPr>
        <w:t>out</w:t>
      </w:r>
      <w:r w:rsidRPr="004D170E">
        <w:rPr>
          <w:b/>
          <w:lang w:bidi="en-US"/>
        </w:rPr>
        <w:t xml:space="preserve">performance </w:t>
      </w:r>
      <w:r w:rsidR="00683FD7">
        <w:rPr>
          <w:b/>
          <w:lang w:bidi="en-US"/>
        </w:rPr>
        <w:t xml:space="preserve">for a given SCPI </w:t>
      </w:r>
      <w:r w:rsidRPr="004D170E">
        <w:rPr>
          <w:b/>
          <w:lang w:bidi="en-US"/>
        </w:rPr>
        <w:t>is therefore the average price return</w:t>
      </w:r>
      <w:r w:rsidRPr="00FD00A3">
        <w:rPr>
          <w:lang w:bidi="en-US"/>
        </w:rPr>
        <w:t>, which varies as much as the total return (going from -0.6% to 7.6%</w:t>
      </w:r>
      <w:r w:rsidR="00A92622">
        <w:rPr>
          <w:lang w:bidi="en-US"/>
        </w:rPr>
        <w:t xml:space="preserve"> on average annually</w:t>
      </w:r>
      <w:r w:rsidR="009810E7">
        <w:rPr>
          <w:lang w:bidi="en-US"/>
        </w:rPr>
        <w:t>) across the universe of SCPIs;</w:t>
      </w:r>
    </w:p>
    <w:p w14:paraId="2D37095D" w14:textId="5B33AA82" w:rsidR="00CB6B5A" w:rsidRDefault="00CB6B5A" w:rsidP="001F5E8D">
      <w:pPr>
        <w:pStyle w:val="Paragraphedeliste"/>
        <w:numPr>
          <w:ilvl w:val="0"/>
          <w:numId w:val="11"/>
        </w:numPr>
        <w:spacing w:line="259" w:lineRule="auto"/>
        <w:contextualSpacing w:val="0"/>
      </w:pPr>
      <w:r>
        <w:rPr>
          <w:lang w:bidi="en-US"/>
        </w:rPr>
        <w:t xml:space="preserve">Price return plays a similarly </w:t>
      </w:r>
      <w:r w:rsidR="00AB6D42">
        <w:rPr>
          <w:lang w:bidi="en-US"/>
        </w:rPr>
        <w:t xml:space="preserve">important </w:t>
      </w:r>
      <w:r>
        <w:rPr>
          <w:lang w:bidi="en-US"/>
        </w:rPr>
        <w:t xml:space="preserve">role in </w:t>
      </w:r>
      <w:r w:rsidR="00DF1810">
        <w:rPr>
          <w:lang w:bidi="en-US"/>
        </w:rPr>
        <w:t xml:space="preserve">explaining the </w:t>
      </w:r>
      <w:r w:rsidR="00FD2371">
        <w:rPr>
          <w:lang w:bidi="en-US"/>
        </w:rPr>
        <w:t xml:space="preserve">large discrepancies in </w:t>
      </w:r>
      <w:r w:rsidR="00C91871">
        <w:rPr>
          <w:lang w:bidi="en-US"/>
        </w:rPr>
        <w:t>risk across SCPIs</w:t>
      </w:r>
      <w:r w:rsidR="00794EEE">
        <w:rPr>
          <w:lang w:bidi="en-US"/>
        </w:rPr>
        <w:t>;</w:t>
      </w:r>
    </w:p>
    <w:p w14:paraId="400A90D4" w14:textId="298B055B" w:rsidR="001F5E8D" w:rsidRPr="005271C3" w:rsidRDefault="001F5E8D" w:rsidP="001F5E8D">
      <w:pPr>
        <w:pStyle w:val="Paragraphedeliste"/>
        <w:numPr>
          <w:ilvl w:val="0"/>
          <w:numId w:val="11"/>
        </w:numPr>
        <w:spacing w:line="259" w:lineRule="auto"/>
        <w:contextualSpacing w:val="0"/>
      </w:pPr>
      <w:r w:rsidRPr="001F5E8D">
        <w:t xml:space="preserve">The </w:t>
      </w:r>
      <w:r w:rsidRPr="004D170E">
        <w:rPr>
          <w:b/>
        </w:rPr>
        <w:t>large dispersion observed in performance and in risk</w:t>
      </w:r>
      <w:r w:rsidRPr="001F5E8D">
        <w:t xml:space="preserve"> naturally supports the idea that investors would benefit from the implementation of selection and allocation processes.</w:t>
      </w:r>
    </w:p>
    <w:p w14:paraId="4B92A76C" w14:textId="77777777" w:rsidR="005D45BC" w:rsidRPr="005D45BC" w:rsidRDefault="005D45BC" w:rsidP="005D45BC"/>
    <w:p w14:paraId="006B4F77" w14:textId="4952F091" w:rsidR="00813442" w:rsidRPr="00813442" w:rsidRDefault="00115192" w:rsidP="00115192">
      <w:pPr>
        <w:pStyle w:val="Titre1"/>
        <w:ind w:left="431" w:hanging="431"/>
        <w:jc w:val="left"/>
        <w:rPr>
          <w:rFonts w:ascii="Times New Roman" w:hAnsi="Times New Roman"/>
          <w:b w:val="0"/>
          <w:bCs w:val="0"/>
          <w:i/>
          <w:snapToGrid w:val="0"/>
          <w:color w:val="000000"/>
        </w:rPr>
      </w:pPr>
      <w:r w:rsidRPr="00115192">
        <w:rPr>
          <w:rFonts w:ascii="Times New Roman" w:hAnsi="Times New Roman"/>
          <w:b w:val="0"/>
          <w:bCs w:val="0"/>
          <w:i/>
          <w:snapToGrid w:val="0"/>
          <w:color w:val="000000"/>
        </w:rPr>
        <w:t>PORTFOLIO DIVERSIFICATION AND BENEFITS OF ALLOCATION</w:t>
      </w:r>
      <w:r w:rsidR="00813442" w:rsidRPr="00813442">
        <w:rPr>
          <w:rFonts w:ascii="Times New Roman" w:hAnsi="Times New Roman"/>
          <w:b w:val="0"/>
          <w:bCs w:val="0"/>
          <w:i/>
          <w:snapToGrid w:val="0"/>
          <w:color w:val="000000"/>
        </w:rPr>
        <w:t xml:space="preserve"> </w:t>
      </w:r>
      <w:bookmarkEnd w:id="0"/>
    </w:p>
    <w:p w14:paraId="36433ED8" w14:textId="4CCEA2A9" w:rsidR="00BF78F2" w:rsidRDefault="00BF78F2" w:rsidP="00813442">
      <w:pPr>
        <w:spacing w:line="280" w:lineRule="atLeast"/>
        <w:jc w:val="both"/>
        <w:rPr>
          <w:snapToGrid w:val="0"/>
          <w:color w:val="000000"/>
          <w:szCs w:val="22"/>
        </w:rPr>
      </w:pPr>
    </w:p>
    <w:p w14:paraId="0AE3597E" w14:textId="727E61B4" w:rsidR="00BF78F2" w:rsidRPr="00BF78F2" w:rsidRDefault="001869A2" w:rsidP="00BF78F2">
      <w:pPr>
        <w:pStyle w:val="Paragraphedeliste"/>
        <w:numPr>
          <w:ilvl w:val="0"/>
          <w:numId w:val="13"/>
        </w:numPr>
        <w:spacing w:line="280" w:lineRule="atLeast"/>
        <w:jc w:val="both"/>
        <w:rPr>
          <w:szCs w:val="22"/>
        </w:rPr>
      </w:pPr>
      <w:r>
        <w:rPr>
          <w:rFonts w:eastAsiaTheme="minorEastAsia"/>
          <w:color w:val="0F1727"/>
        </w:rPr>
        <w:t>As expected, i</w:t>
      </w:r>
      <w:r w:rsidR="00BF78F2" w:rsidRPr="00FD00A3">
        <w:rPr>
          <w:rFonts w:eastAsiaTheme="minorEastAsia"/>
          <w:color w:val="0F1727"/>
        </w:rPr>
        <w:t xml:space="preserve">ncreasing the number of SCPIs in </w:t>
      </w:r>
      <w:r w:rsidR="00A53B2C">
        <w:rPr>
          <w:rFonts w:eastAsiaTheme="minorEastAsia"/>
          <w:color w:val="0F1727"/>
        </w:rPr>
        <w:t xml:space="preserve">a </w:t>
      </w:r>
      <w:r w:rsidR="00BF78F2" w:rsidRPr="00FD00A3">
        <w:rPr>
          <w:rFonts w:eastAsiaTheme="minorEastAsia"/>
          <w:color w:val="0F1727"/>
        </w:rPr>
        <w:t xml:space="preserve">portfolio </w:t>
      </w:r>
      <w:r w:rsidR="00F56B1A">
        <w:rPr>
          <w:rFonts w:eastAsiaTheme="minorEastAsia"/>
          <w:color w:val="0F1727"/>
        </w:rPr>
        <w:t xml:space="preserve">does on average </w:t>
      </w:r>
      <w:r w:rsidR="003177A3">
        <w:rPr>
          <w:rFonts w:eastAsiaTheme="minorEastAsia"/>
          <w:color w:val="0F1727"/>
        </w:rPr>
        <w:t xml:space="preserve">reduce </w:t>
      </w:r>
      <w:r w:rsidR="00BF78F2" w:rsidRPr="00FD00A3">
        <w:rPr>
          <w:rFonts w:eastAsiaTheme="minorEastAsia"/>
          <w:color w:val="0F1727"/>
        </w:rPr>
        <w:t>its total return volatility</w:t>
      </w:r>
      <w:r w:rsidR="00611A3B">
        <w:rPr>
          <w:rFonts w:eastAsiaTheme="minorEastAsia"/>
          <w:color w:val="0F1727"/>
        </w:rPr>
        <w:t>;</w:t>
      </w:r>
    </w:p>
    <w:p w14:paraId="12BE19DB" w14:textId="5E0E133F" w:rsidR="00BF78F2" w:rsidRPr="0078214B" w:rsidRDefault="00E24E03" w:rsidP="00E40449">
      <w:pPr>
        <w:pStyle w:val="Paragraphedeliste"/>
        <w:numPr>
          <w:ilvl w:val="0"/>
          <w:numId w:val="13"/>
        </w:numPr>
        <w:spacing w:line="280" w:lineRule="atLeast"/>
        <w:jc w:val="both"/>
        <w:rPr>
          <w:szCs w:val="22"/>
        </w:rPr>
      </w:pPr>
      <w:r>
        <w:rPr>
          <w:rFonts w:eastAsiaTheme="minorEastAsia"/>
          <w:color w:val="0F1727"/>
        </w:rPr>
        <w:t>The equally-weighted SCPI portfolio</w:t>
      </w:r>
      <w:r w:rsidR="005B2754">
        <w:rPr>
          <w:rStyle w:val="Appelnotedebasdep"/>
          <w:rFonts w:eastAsiaTheme="minorEastAsia"/>
          <w:color w:val="0F1727"/>
        </w:rPr>
        <w:footnoteReference w:id="5"/>
      </w:r>
      <w:r w:rsidR="005B2754">
        <w:rPr>
          <w:rFonts w:eastAsiaTheme="minorEastAsia"/>
          <w:color w:val="0F1727"/>
        </w:rPr>
        <w:t xml:space="preserve"> </w:t>
      </w:r>
      <w:r w:rsidR="00F56B64">
        <w:rPr>
          <w:rFonts w:eastAsiaTheme="minorEastAsia"/>
          <w:color w:val="0F1727"/>
        </w:rPr>
        <w:t xml:space="preserve">indeed </w:t>
      </w:r>
      <w:r>
        <w:rPr>
          <w:rFonts w:eastAsiaTheme="minorEastAsia"/>
          <w:color w:val="0F1727"/>
        </w:rPr>
        <w:t>carries significantly less risk than the “average SCPI”</w:t>
      </w:r>
      <w:r w:rsidR="00F56B64">
        <w:rPr>
          <w:rFonts w:eastAsiaTheme="minorEastAsia"/>
          <w:color w:val="0F1727"/>
        </w:rPr>
        <w:t>;</w:t>
      </w:r>
      <w:r>
        <w:rPr>
          <w:rFonts w:eastAsiaTheme="minorEastAsia"/>
          <w:color w:val="0F1727"/>
        </w:rPr>
        <w:t xml:space="preserve"> i</w:t>
      </w:r>
      <w:r w:rsidR="0093015F">
        <w:rPr>
          <w:rFonts w:eastAsiaTheme="minorEastAsia"/>
          <w:color w:val="0F1727"/>
        </w:rPr>
        <w:t xml:space="preserve">t </w:t>
      </w:r>
      <w:r w:rsidR="0078214B">
        <w:rPr>
          <w:rFonts w:eastAsiaTheme="minorEastAsia"/>
          <w:color w:val="0F1727"/>
        </w:rPr>
        <w:t xml:space="preserve">appears </w:t>
      </w:r>
      <w:r w:rsidR="0078214B" w:rsidRPr="001C70E1">
        <w:rPr>
          <w:rFonts w:eastAsiaTheme="minorEastAsia"/>
          <w:color w:val="0F1727"/>
        </w:rPr>
        <w:t xml:space="preserve">that </w:t>
      </w:r>
      <w:r w:rsidR="00B03A65" w:rsidRPr="001C70E1">
        <w:rPr>
          <w:rFonts w:eastAsiaTheme="minorEastAsia"/>
          <w:b/>
          <w:color w:val="0F1727"/>
        </w:rPr>
        <w:t>88</w:t>
      </w:r>
      <w:r w:rsidR="0078214B" w:rsidRPr="001C70E1">
        <w:rPr>
          <w:rFonts w:eastAsiaTheme="minorEastAsia"/>
          <w:b/>
          <w:color w:val="0F1727"/>
        </w:rPr>
        <w:t xml:space="preserve">% of the full risk-reduction is obtained after only </w:t>
      </w:r>
      <w:r w:rsidR="00F6307E" w:rsidRPr="001C70E1">
        <w:rPr>
          <w:rFonts w:eastAsiaTheme="minorEastAsia"/>
          <w:b/>
          <w:color w:val="0F1727"/>
        </w:rPr>
        <w:t xml:space="preserve">10 </w:t>
      </w:r>
      <w:r w:rsidR="0078214B" w:rsidRPr="001C70E1">
        <w:rPr>
          <w:rFonts w:eastAsiaTheme="minorEastAsia"/>
          <w:b/>
          <w:color w:val="0F1727"/>
        </w:rPr>
        <w:t>SCPIs</w:t>
      </w:r>
      <w:r w:rsidR="004D170E">
        <w:rPr>
          <w:rFonts w:eastAsiaTheme="minorEastAsia"/>
          <w:color w:val="0F1727"/>
        </w:rPr>
        <w:t xml:space="preserve">: </w:t>
      </w:r>
      <w:r w:rsidR="00BF78F2" w:rsidRPr="0078214B">
        <w:rPr>
          <w:rFonts w:eastAsiaTheme="minorEastAsia"/>
          <w:color w:val="0F1727"/>
        </w:rPr>
        <w:t xml:space="preserve">eliminating over </w:t>
      </w:r>
      <w:r w:rsidR="00F6307E">
        <w:rPr>
          <w:rFonts w:eastAsiaTheme="minorEastAsia"/>
          <w:color w:val="0F1727"/>
        </w:rPr>
        <w:t>80</w:t>
      </w:r>
      <w:r w:rsidR="00BF78F2" w:rsidRPr="0078214B">
        <w:rPr>
          <w:rFonts w:eastAsiaTheme="minorEastAsia"/>
          <w:color w:val="0F1727"/>
        </w:rPr>
        <w:t>% of the population</w:t>
      </w:r>
      <w:r w:rsidR="004D170E">
        <w:rPr>
          <w:rFonts w:eastAsiaTheme="minorEastAsia"/>
          <w:color w:val="0F1727"/>
        </w:rPr>
        <w:t xml:space="preserve"> </w:t>
      </w:r>
      <w:r w:rsidR="00BA7C1D">
        <w:rPr>
          <w:rFonts w:eastAsiaTheme="minorEastAsia"/>
          <w:color w:val="0F1727"/>
        </w:rPr>
        <w:t xml:space="preserve">from the portfolio </w:t>
      </w:r>
      <w:r w:rsidR="00BF78F2" w:rsidRPr="0078214B">
        <w:rPr>
          <w:rFonts w:eastAsiaTheme="minorEastAsia"/>
          <w:color w:val="0F1727"/>
        </w:rPr>
        <w:t>does not</w:t>
      </w:r>
      <w:r w:rsidR="00BA7C1D">
        <w:rPr>
          <w:rFonts w:eastAsiaTheme="minorEastAsia"/>
          <w:color w:val="0F1727"/>
        </w:rPr>
        <w:t xml:space="preserve">, on </w:t>
      </w:r>
      <w:r w:rsidR="00927623">
        <w:rPr>
          <w:rFonts w:eastAsiaTheme="minorEastAsia"/>
          <w:color w:val="0F1727"/>
        </w:rPr>
        <w:t>average,</w:t>
      </w:r>
      <w:r w:rsidR="00927623" w:rsidRPr="0078214B">
        <w:rPr>
          <w:rFonts w:eastAsiaTheme="minorEastAsia"/>
          <w:color w:val="0F1727"/>
        </w:rPr>
        <w:t xml:space="preserve"> substantially</w:t>
      </w:r>
      <w:r w:rsidR="00BF78F2" w:rsidRPr="0078214B">
        <w:rPr>
          <w:rFonts w:eastAsiaTheme="minorEastAsia"/>
          <w:color w:val="0F1727"/>
        </w:rPr>
        <w:t xml:space="preserve"> reduce the benefits of portfolio allocation for investors</w:t>
      </w:r>
      <w:r w:rsidR="00611A3B">
        <w:rPr>
          <w:rFonts w:eastAsiaTheme="minorEastAsia"/>
          <w:color w:val="0F1727"/>
        </w:rPr>
        <w:t>;</w:t>
      </w:r>
    </w:p>
    <w:p w14:paraId="3642F7B1" w14:textId="10383E58" w:rsidR="0078214B" w:rsidRPr="0078214B" w:rsidRDefault="0078214B" w:rsidP="00E40449">
      <w:pPr>
        <w:pStyle w:val="Paragraphedeliste"/>
        <w:numPr>
          <w:ilvl w:val="0"/>
          <w:numId w:val="13"/>
        </w:numPr>
        <w:spacing w:line="280" w:lineRule="atLeast"/>
        <w:jc w:val="both"/>
        <w:rPr>
          <w:szCs w:val="22"/>
        </w:rPr>
      </w:pPr>
      <w:r>
        <w:rPr>
          <w:lang w:bidi="en-US"/>
        </w:rPr>
        <w:t>D</w:t>
      </w:r>
      <w:r w:rsidRPr="00FD00A3">
        <w:rPr>
          <w:lang w:bidi="en-US"/>
        </w:rPr>
        <w:t>iversification comes at a cost</w:t>
      </w:r>
      <w:r w:rsidR="006B7F9C">
        <w:rPr>
          <w:lang w:bidi="en-US"/>
        </w:rPr>
        <w:t xml:space="preserve"> given the frictions prevailing in the SCPI market</w:t>
      </w:r>
      <w:r w:rsidRPr="00FD00A3">
        <w:rPr>
          <w:lang w:bidi="en-US"/>
        </w:rPr>
        <w:t>, and investors may need to consider the tangible benefits of allocation as part of a trade-off.</w:t>
      </w:r>
    </w:p>
    <w:p w14:paraId="29021053" w14:textId="77777777" w:rsidR="00BF78F2" w:rsidRPr="00783F5D" w:rsidRDefault="00BF78F2" w:rsidP="00813442">
      <w:pPr>
        <w:spacing w:line="280" w:lineRule="atLeast"/>
        <w:jc w:val="both"/>
        <w:rPr>
          <w:snapToGrid w:val="0"/>
          <w:color w:val="000000"/>
          <w:szCs w:val="22"/>
        </w:rPr>
      </w:pPr>
    </w:p>
    <w:p w14:paraId="39498AFA" w14:textId="4060302A" w:rsidR="00813442" w:rsidRPr="00927623" w:rsidRDefault="00115192" w:rsidP="00115192">
      <w:pPr>
        <w:spacing w:line="280" w:lineRule="atLeast"/>
        <w:jc w:val="both"/>
        <w:rPr>
          <w:i/>
          <w:iCs/>
          <w:szCs w:val="22"/>
        </w:rPr>
      </w:pPr>
      <w:r w:rsidRPr="00927623">
        <w:rPr>
          <w:i/>
          <w:iCs/>
          <w:szCs w:val="22"/>
        </w:rPr>
        <w:t>RELEVANT CANDIDATE ATTRIBUTES FOR SCPI SELECTION</w:t>
      </w:r>
    </w:p>
    <w:p w14:paraId="4524849D" w14:textId="0286F68E" w:rsidR="006978A3" w:rsidRDefault="006978A3" w:rsidP="00115192">
      <w:pPr>
        <w:spacing w:line="280" w:lineRule="atLeast"/>
        <w:jc w:val="both"/>
        <w:rPr>
          <w:szCs w:val="22"/>
        </w:rPr>
      </w:pPr>
    </w:p>
    <w:p w14:paraId="0EAD63DB" w14:textId="548CAB81" w:rsidR="0001354B" w:rsidRDefault="0001354B" w:rsidP="0001354B">
      <w:pPr>
        <w:spacing w:line="280" w:lineRule="atLeast"/>
        <w:jc w:val="both"/>
        <w:rPr>
          <w:szCs w:val="22"/>
        </w:rPr>
      </w:pPr>
      <w:r>
        <w:rPr>
          <w:szCs w:val="22"/>
        </w:rPr>
        <w:t>The</w:t>
      </w:r>
      <w:r w:rsidRPr="0001354B">
        <w:rPr>
          <w:szCs w:val="22"/>
        </w:rPr>
        <w:t xml:space="preserve"> analysis covers eight SCPI attributes, </w:t>
      </w:r>
      <w:r w:rsidR="00FD6182">
        <w:rPr>
          <w:szCs w:val="22"/>
        </w:rPr>
        <w:t xml:space="preserve">and the </w:t>
      </w:r>
      <w:r w:rsidR="00611A3B">
        <w:rPr>
          <w:szCs w:val="22"/>
        </w:rPr>
        <w:t>authors</w:t>
      </w:r>
      <w:r w:rsidR="00AF41E9">
        <w:rPr>
          <w:szCs w:val="22"/>
        </w:rPr>
        <w:t xml:space="preserve"> identify th</w:t>
      </w:r>
      <w:r w:rsidR="00AF41E9" w:rsidRPr="00FD00A3">
        <w:rPr>
          <w:lang w:bidi="en-US"/>
        </w:rPr>
        <w:t xml:space="preserve">ree specific </w:t>
      </w:r>
      <w:r w:rsidR="008E7437">
        <w:rPr>
          <w:lang w:bidi="en-US"/>
        </w:rPr>
        <w:t xml:space="preserve">candidates </w:t>
      </w:r>
      <w:r w:rsidR="00AF41E9" w:rsidRPr="00FD00A3">
        <w:rPr>
          <w:lang w:bidi="en-US"/>
        </w:rPr>
        <w:t xml:space="preserve">that could </w:t>
      </w:r>
      <w:r w:rsidR="00AD4874">
        <w:rPr>
          <w:lang w:bidi="en-US"/>
        </w:rPr>
        <w:t xml:space="preserve">help </w:t>
      </w:r>
      <w:r w:rsidR="00AF41E9" w:rsidRPr="00FD00A3">
        <w:rPr>
          <w:lang w:bidi="en-US"/>
        </w:rPr>
        <w:t>explain the cross-sectional differences in risk and return</w:t>
      </w:r>
      <w:r w:rsidRPr="0001354B">
        <w:rPr>
          <w:szCs w:val="22"/>
        </w:rPr>
        <w:t>:</w:t>
      </w:r>
    </w:p>
    <w:p w14:paraId="71474D47" w14:textId="77777777" w:rsidR="00AF41E9" w:rsidRDefault="00AF41E9" w:rsidP="0001354B">
      <w:pPr>
        <w:spacing w:line="280" w:lineRule="atLeast"/>
        <w:jc w:val="both"/>
        <w:rPr>
          <w:szCs w:val="22"/>
        </w:rPr>
      </w:pPr>
    </w:p>
    <w:p w14:paraId="17C5128F" w14:textId="5F4F9554" w:rsidR="006978A3" w:rsidRPr="006978A3" w:rsidRDefault="0001354B" w:rsidP="00CB6353">
      <w:pPr>
        <w:pStyle w:val="Paragraphedeliste"/>
        <w:numPr>
          <w:ilvl w:val="0"/>
          <w:numId w:val="14"/>
        </w:numPr>
        <w:spacing w:line="280" w:lineRule="atLeast"/>
        <w:jc w:val="both"/>
        <w:rPr>
          <w:szCs w:val="22"/>
        </w:rPr>
      </w:pPr>
      <w:r w:rsidRPr="004D170E">
        <w:rPr>
          <w:b/>
          <w:lang w:bidi="en-US"/>
        </w:rPr>
        <w:t>Fund size attribu</w:t>
      </w:r>
      <w:r w:rsidR="00AF41E9" w:rsidRPr="004D170E">
        <w:rPr>
          <w:b/>
          <w:lang w:bidi="en-US"/>
        </w:rPr>
        <w:t>te</w:t>
      </w:r>
      <w:r w:rsidR="00CB6353">
        <w:rPr>
          <w:lang w:bidi="en-US"/>
        </w:rPr>
        <w:t xml:space="preserve"> (</w:t>
      </w:r>
      <w:r w:rsidR="00CB6353" w:rsidRPr="00CB6353">
        <w:rPr>
          <w:lang w:bidi="en-US"/>
        </w:rPr>
        <w:t>ranking SCPIs by AUM)</w:t>
      </w:r>
      <w:r w:rsidR="00AF41E9" w:rsidRPr="00CB6353">
        <w:rPr>
          <w:lang w:bidi="en-US"/>
        </w:rPr>
        <w:t xml:space="preserve"> </w:t>
      </w:r>
      <w:r w:rsidR="00CB6353">
        <w:rPr>
          <w:lang w:bidi="en-US"/>
        </w:rPr>
        <w:t xml:space="preserve">: </w:t>
      </w:r>
      <w:r w:rsidR="00C96A7E">
        <w:rPr>
          <w:lang w:bidi="en-US"/>
        </w:rPr>
        <w:t xml:space="preserve">small SCPIs </w:t>
      </w:r>
      <w:r w:rsidR="00B0250D">
        <w:rPr>
          <w:lang w:bidi="en-US"/>
        </w:rPr>
        <w:t xml:space="preserve">have historically </w:t>
      </w:r>
      <w:r w:rsidR="00C96A7E">
        <w:rPr>
          <w:lang w:bidi="en-US"/>
        </w:rPr>
        <w:t>outperform</w:t>
      </w:r>
      <w:r w:rsidR="00B0250D">
        <w:rPr>
          <w:lang w:bidi="en-US"/>
        </w:rPr>
        <w:t>ed</w:t>
      </w:r>
      <w:r w:rsidR="00C96A7E">
        <w:rPr>
          <w:lang w:bidi="en-US"/>
        </w:rPr>
        <w:t xml:space="preserve"> their </w:t>
      </w:r>
      <w:r w:rsidR="00B0250D">
        <w:rPr>
          <w:lang w:bidi="en-US"/>
        </w:rPr>
        <w:t>larger peers</w:t>
      </w:r>
      <w:r w:rsidR="00CB6353">
        <w:rPr>
          <w:lang w:bidi="en-US"/>
        </w:rPr>
        <w:t>;</w:t>
      </w:r>
    </w:p>
    <w:p w14:paraId="13D214FE" w14:textId="2F7AF10E" w:rsidR="006978A3" w:rsidRPr="00CB6353" w:rsidRDefault="00CB6353" w:rsidP="00CB6353">
      <w:pPr>
        <w:pStyle w:val="Paragraphedeliste"/>
        <w:numPr>
          <w:ilvl w:val="0"/>
          <w:numId w:val="14"/>
        </w:numPr>
        <w:spacing w:line="280" w:lineRule="atLeast"/>
        <w:jc w:val="both"/>
        <w:rPr>
          <w:szCs w:val="22"/>
        </w:rPr>
      </w:pPr>
      <w:r w:rsidRPr="004D170E">
        <w:rPr>
          <w:b/>
          <w:lang w:bidi="en-US"/>
        </w:rPr>
        <w:t>Volatility attribute</w:t>
      </w:r>
      <w:r w:rsidRPr="00CB6353">
        <w:rPr>
          <w:lang w:bidi="en-US"/>
        </w:rPr>
        <w:t xml:space="preserve"> (ranking SCPIs by time-series volatility)</w:t>
      </w:r>
      <w:r>
        <w:rPr>
          <w:lang w:bidi="en-US"/>
        </w:rPr>
        <w:t xml:space="preserve">: </w:t>
      </w:r>
      <w:r w:rsidR="00B0250D">
        <w:rPr>
          <w:lang w:bidi="en-US"/>
        </w:rPr>
        <w:t>low</w:t>
      </w:r>
      <w:r w:rsidR="004B6220">
        <w:rPr>
          <w:lang w:bidi="en-US"/>
        </w:rPr>
        <w:t>-</w:t>
      </w:r>
      <w:r w:rsidR="00B0250D">
        <w:rPr>
          <w:lang w:bidi="en-US"/>
        </w:rPr>
        <w:t xml:space="preserve">volatility SCPIs </w:t>
      </w:r>
      <w:r w:rsidR="00E11A23">
        <w:rPr>
          <w:lang w:bidi="en-US"/>
        </w:rPr>
        <w:t xml:space="preserve">have </w:t>
      </w:r>
      <w:r w:rsidR="00CA7997">
        <w:rPr>
          <w:lang w:bidi="en-US"/>
        </w:rPr>
        <w:t xml:space="preserve">produced </w:t>
      </w:r>
      <w:r w:rsidR="00E11A23">
        <w:rPr>
          <w:lang w:bidi="en-US"/>
        </w:rPr>
        <w:t xml:space="preserve">strong </w:t>
      </w:r>
      <w:r w:rsidR="00882BC3">
        <w:rPr>
          <w:lang w:bidi="en-US"/>
        </w:rPr>
        <w:t xml:space="preserve">in-sample </w:t>
      </w:r>
      <w:r w:rsidR="00E11A23">
        <w:rPr>
          <w:lang w:bidi="en-US"/>
        </w:rPr>
        <w:t>risk-adjusted return</w:t>
      </w:r>
      <w:r w:rsidR="00CA7997">
        <w:rPr>
          <w:lang w:bidi="en-US"/>
        </w:rPr>
        <w:t>s</w:t>
      </w:r>
      <w:r w:rsidR="00E11A23">
        <w:rPr>
          <w:lang w:bidi="en-US"/>
        </w:rPr>
        <w:t xml:space="preserve"> compared to their </w:t>
      </w:r>
      <w:r w:rsidR="004B6220">
        <w:rPr>
          <w:lang w:bidi="en-US"/>
        </w:rPr>
        <w:t xml:space="preserve">higher-volatility </w:t>
      </w:r>
      <w:r w:rsidR="00E11A23">
        <w:rPr>
          <w:lang w:bidi="en-US"/>
        </w:rPr>
        <w:t>peers</w:t>
      </w:r>
      <w:r>
        <w:rPr>
          <w:lang w:bidi="en-US"/>
        </w:rPr>
        <w:t>;</w:t>
      </w:r>
    </w:p>
    <w:p w14:paraId="33903237" w14:textId="336FFC34" w:rsidR="00CB6353" w:rsidRDefault="00CB6353" w:rsidP="00611A3B">
      <w:pPr>
        <w:pStyle w:val="Paragraphedeliste"/>
        <w:numPr>
          <w:ilvl w:val="0"/>
          <w:numId w:val="14"/>
        </w:numPr>
        <w:spacing w:line="280" w:lineRule="atLeast"/>
        <w:jc w:val="both"/>
        <w:rPr>
          <w:szCs w:val="22"/>
        </w:rPr>
      </w:pPr>
      <w:r w:rsidRPr="004D170E">
        <w:rPr>
          <w:b/>
          <w:szCs w:val="22"/>
        </w:rPr>
        <w:t>Past Performance attribute</w:t>
      </w:r>
      <w:r>
        <w:rPr>
          <w:szCs w:val="22"/>
        </w:rPr>
        <w:t>:</w:t>
      </w:r>
      <w:r w:rsidR="00611A3B" w:rsidRPr="00611A3B">
        <w:t xml:space="preserve"> </w:t>
      </w:r>
      <w:r w:rsidR="00611A3B" w:rsidRPr="00611A3B">
        <w:rPr>
          <w:szCs w:val="22"/>
        </w:rPr>
        <w:t xml:space="preserve">past losers </w:t>
      </w:r>
      <w:r w:rsidR="001B1BD2">
        <w:rPr>
          <w:szCs w:val="22"/>
        </w:rPr>
        <w:t xml:space="preserve">have historically </w:t>
      </w:r>
      <w:r w:rsidR="00611A3B" w:rsidRPr="00611A3B">
        <w:rPr>
          <w:szCs w:val="22"/>
        </w:rPr>
        <w:t>tend</w:t>
      </w:r>
      <w:r w:rsidR="001B1BD2">
        <w:rPr>
          <w:szCs w:val="22"/>
        </w:rPr>
        <w:t>ed</w:t>
      </w:r>
      <w:r w:rsidR="00611A3B" w:rsidRPr="00611A3B">
        <w:rPr>
          <w:szCs w:val="22"/>
        </w:rPr>
        <w:t xml:space="preserve"> to underperform in subsequent periods</w:t>
      </w:r>
      <w:r w:rsidR="00DB2998">
        <w:rPr>
          <w:szCs w:val="22"/>
        </w:rPr>
        <w:t>.</w:t>
      </w:r>
    </w:p>
    <w:p w14:paraId="7FE94777" w14:textId="77777777" w:rsidR="00DF0D6E" w:rsidRDefault="00DF0D6E" w:rsidP="00927623">
      <w:pPr>
        <w:spacing w:line="280" w:lineRule="atLeast"/>
        <w:jc w:val="both"/>
        <w:rPr>
          <w:szCs w:val="22"/>
        </w:rPr>
      </w:pPr>
    </w:p>
    <w:p w14:paraId="1EF546C1" w14:textId="063D7CCC" w:rsidR="00611A3B" w:rsidRPr="008221B8" w:rsidRDefault="00301940" w:rsidP="00927623">
      <w:pPr>
        <w:spacing w:line="280" w:lineRule="atLeast"/>
        <w:jc w:val="both"/>
        <w:rPr>
          <w:szCs w:val="22"/>
        </w:rPr>
      </w:pPr>
      <w:r>
        <w:rPr>
          <w:szCs w:val="22"/>
        </w:rPr>
        <w:t>Although f</w:t>
      </w:r>
      <w:r w:rsidR="003F700C">
        <w:rPr>
          <w:szCs w:val="22"/>
        </w:rPr>
        <w:t xml:space="preserve">urther research will be needed to </w:t>
      </w:r>
      <w:r w:rsidR="00251182">
        <w:rPr>
          <w:szCs w:val="22"/>
        </w:rPr>
        <w:t xml:space="preserve">formally </w:t>
      </w:r>
      <w:r w:rsidR="003F700C">
        <w:rPr>
          <w:szCs w:val="22"/>
        </w:rPr>
        <w:t>validate the three candidates</w:t>
      </w:r>
      <w:r>
        <w:rPr>
          <w:szCs w:val="22"/>
        </w:rPr>
        <w:t xml:space="preserve"> (</w:t>
      </w:r>
      <w:r w:rsidR="003F700C">
        <w:rPr>
          <w:szCs w:val="22"/>
        </w:rPr>
        <w:t xml:space="preserve">including </w:t>
      </w:r>
      <w:r w:rsidR="00251182">
        <w:rPr>
          <w:szCs w:val="22"/>
        </w:rPr>
        <w:t xml:space="preserve">rigorous </w:t>
      </w:r>
      <w:r w:rsidR="008039BD">
        <w:rPr>
          <w:szCs w:val="22"/>
        </w:rPr>
        <w:t xml:space="preserve">out-of-sample testing </w:t>
      </w:r>
      <w:r w:rsidR="003F700C">
        <w:rPr>
          <w:szCs w:val="22"/>
        </w:rPr>
        <w:t>and analysis of SCPI</w:t>
      </w:r>
      <w:r w:rsidR="00251182">
        <w:rPr>
          <w:szCs w:val="22"/>
        </w:rPr>
        <w:t>s’ financial statements</w:t>
      </w:r>
      <w:r>
        <w:rPr>
          <w:szCs w:val="22"/>
        </w:rPr>
        <w:t xml:space="preserve">), </w:t>
      </w:r>
      <w:r w:rsidR="008221B8">
        <w:rPr>
          <w:szCs w:val="22"/>
        </w:rPr>
        <w:t xml:space="preserve">current results indicate </w:t>
      </w:r>
      <w:r w:rsidR="008221B8" w:rsidRPr="00DF0D6E">
        <w:rPr>
          <w:b/>
          <w:szCs w:val="22"/>
        </w:rPr>
        <w:t xml:space="preserve">investor </w:t>
      </w:r>
      <w:r w:rsidR="00611A3B" w:rsidRPr="00DF0D6E">
        <w:rPr>
          <w:b/>
          <w:szCs w:val="22"/>
        </w:rPr>
        <w:t xml:space="preserve">welfare </w:t>
      </w:r>
      <w:r w:rsidR="008221B8" w:rsidRPr="00DF0D6E">
        <w:rPr>
          <w:b/>
          <w:szCs w:val="22"/>
        </w:rPr>
        <w:t xml:space="preserve">could </w:t>
      </w:r>
      <w:r w:rsidR="00611A3B" w:rsidRPr="00DF0D6E">
        <w:rPr>
          <w:b/>
          <w:szCs w:val="22"/>
        </w:rPr>
        <w:t>be enhanced via suitable SCPI selection decisions</w:t>
      </w:r>
      <w:r w:rsidR="00611A3B" w:rsidRPr="008221B8">
        <w:rPr>
          <w:szCs w:val="22"/>
        </w:rPr>
        <w:t>.</w:t>
      </w:r>
    </w:p>
    <w:p w14:paraId="45E3637C" w14:textId="77777777" w:rsidR="0001354B" w:rsidRDefault="0001354B" w:rsidP="00BF78F2">
      <w:pPr>
        <w:jc w:val="both"/>
        <w:rPr>
          <w:lang w:bidi="en-US"/>
        </w:rPr>
      </w:pPr>
    </w:p>
    <w:p w14:paraId="7862B915" w14:textId="5A868E01" w:rsidR="00D569E3" w:rsidRPr="00611A3B" w:rsidRDefault="001347B1" w:rsidP="00D569E3">
      <w:pPr>
        <w:spacing w:line="280" w:lineRule="atLeast"/>
        <w:jc w:val="both"/>
        <w:rPr>
          <w:rFonts w:cs="Arial"/>
          <w:b/>
          <w:szCs w:val="22"/>
        </w:rPr>
      </w:pPr>
      <w:r w:rsidRPr="00927623">
        <w:rPr>
          <w:rFonts w:cs="Arial"/>
          <w:b/>
          <w:bCs/>
          <w:szCs w:val="22"/>
        </w:rPr>
        <w:t>Overall,</w:t>
      </w:r>
      <w:r>
        <w:rPr>
          <w:rFonts w:cs="Arial"/>
          <w:szCs w:val="22"/>
        </w:rPr>
        <w:t xml:space="preserve"> </w:t>
      </w:r>
      <w:r>
        <w:rPr>
          <w:rFonts w:cs="Arial"/>
          <w:b/>
          <w:szCs w:val="22"/>
        </w:rPr>
        <w:t>r</w:t>
      </w:r>
      <w:r w:rsidRPr="00611A3B">
        <w:rPr>
          <w:rFonts w:cs="Arial"/>
          <w:b/>
          <w:szCs w:val="22"/>
        </w:rPr>
        <w:t xml:space="preserve">esults </w:t>
      </w:r>
      <w:r w:rsidR="00D569E3" w:rsidRPr="00611A3B">
        <w:rPr>
          <w:rFonts w:cs="Arial"/>
          <w:b/>
          <w:szCs w:val="22"/>
        </w:rPr>
        <w:t>suggest that value can be added by selection and allocation decisions, which could form the basis of a welfare-enhancing open architecture multi-management approach to investment in SCPIs.</w:t>
      </w:r>
    </w:p>
    <w:p w14:paraId="43CE98A4" w14:textId="77777777" w:rsidR="00D569E3" w:rsidRDefault="00D569E3" w:rsidP="00D85AF8">
      <w:pPr>
        <w:spacing w:line="280" w:lineRule="atLeast"/>
        <w:jc w:val="both"/>
        <w:rPr>
          <w:rFonts w:cs="Arial"/>
          <w:szCs w:val="22"/>
        </w:rPr>
      </w:pPr>
    </w:p>
    <w:p w14:paraId="3EA35B59" w14:textId="3EE8F5F4" w:rsidR="00280127" w:rsidRPr="00DA6BBF" w:rsidRDefault="003461AE" w:rsidP="00D85AF8">
      <w:pPr>
        <w:spacing w:line="280" w:lineRule="atLeast"/>
        <w:jc w:val="both"/>
        <w:rPr>
          <w:rFonts w:cs="Arial"/>
          <w:szCs w:val="22"/>
          <w:lang w:val="en-US"/>
        </w:rPr>
      </w:pPr>
      <w:r w:rsidRPr="00DA6BBF">
        <w:rPr>
          <w:rFonts w:cs="Arial"/>
          <w:szCs w:val="22"/>
          <w:lang w:val="en-US"/>
        </w:rPr>
        <w:t xml:space="preserve">Commenting on this research, </w:t>
      </w:r>
      <w:r w:rsidR="002810C3" w:rsidRPr="00DA6BBF">
        <w:rPr>
          <w:rFonts w:cs="Arial"/>
          <w:szCs w:val="22"/>
          <w:lang w:val="en-US"/>
        </w:rPr>
        <w:t>Lionel Martellini</w:t>
      </w:r>
      <w:r w:rsidRPr="00DA6BBF">
        <w:rPr>
          <w:rFonts w:cs="Arial"/>
          <w:szCs w:val="22"/>
          <w:lang w:val="en-US"/>
        </w:rPr>
        <w:t>, Director of EDHEC-Risk Institute, said, “</w:t>
      </w:r>
      <w:r w:rsidR="000937CA" w:rsidRPr="00093F5D">
        <w:rPr>
          <w:rFonts w:cs="Arial"/>
          <w:i/>
          <w:szCs w:val="22"/>
          <w:lang w:val="en-US"/>
        </w:rPr>
        <w:t>Modern asset management tools can easily be applied to the real estate asset class. In particular, a multi-management approach on the SCPI market based on the right selection and allocation processes is likely to significantly improve the risk-return profile to the benefit of investors</w:t>
      </w:r>
      <w:r w:rsidR="00873D7D" w:rsidRPr="00DA6BBF">
        <w:rPr>
          <w:rFonts w:cs="Arial"/>
          <w:szCs w:val="22"/>
          <w:lang w:val="en-US"/>
        </w:rPr>
        <w:t>.</w:t>
      </w:r>
      <w:r w:rsidR="000D04CC" w:rsidRPr="00DA6BBF">
        <w:rPr>
          <w:rFonts w:cs="Arial"/>
          <w:szCs w:val="22"/>
          <w:lang w:val="en-US"/>
        </w:rPr>
        <w:t>”</w:t>
      </w:r>
    </w:p>
    <w:p w14:paraId="1BF44744" w14:textId="77777777" w:rsidR="00E36F23" w:rsidRPr="00DA6BBF" w:rsidRDefault="00E36F23" w:rsidP="00D85AF8">
      <w:pPr>
        <w:spacing w:line="280" w:lineRule="atLeast"/>
        <w:jc w:val="both"/>
        <w:rPr>
          <w:rFonts w:cs="Arial"/>
          <w:szCs w:val="22"/>
          <w:lang w:val="en-US"/>
        </w:rPr>
      </w:pPr>
    </w:p>
    <w:p w14:paraId="1EC64E9D" w14:textId="1C25B6CE" w:rsidR="007D05C5" w:rsidRPr="0031387D" w:rsidRDefault="00B41979">
      <w:pPr>
        <w:jc w:val="both"/>
        <w:rPr>
          <w:i/>
          <w:iCs/>
          <w:szCs w:val="22"/>
          <w:lang w:val="en-US"/>
        </w:rPr>
      </w:pPr>
      <w:r w:rsidRPr="00DA6BBF">
        <w:rPr>
          <w:szCs w:val="22"/>
          <w:lang w:val="en-US"/>
        </w:rPr>
        <w:t>Frédéric Bôl, Chief Executive Officer, Swiss Life Asset Managers France,</w:t>
      </w:r>
      <w:r w:rsidR="00544FAD" w:rsidRPr="00DA6BBF">
        <w:rPr>
          <w:szCs w:val="22"/>
          <w:lang w:val="en-US"/>
        </w:rPr>
        <w:t xml:space="preserve"> </w:t>
      </w:r>
      <w:r w:rsidR="00526B08">
        <w:rPr>
          <w:szCs w:val="22"/>
          <w:lang w:val="en-US"/>
        </w:rPr>
        <w:t>underlined</w:t>
      </w:r>
      <w:r w:rsidR="00544FAD" w:rsidRPr="00DA6BBF">
        <w:rPr>
          <w:szCs w:val="22"/>
          <w:lang w:val="en-US"/>
        </w:rPr>
        <w:t xml:space="preserve">: </w:t>
      </w:r>
      <w:r w:rsidR="00544FAD" w:rsidRPr="0031387D">
        <w:rPr>
          <w:i/>
          <w:iCs/>
          <w:szCs w:val="22"/>
          <w:lang w:val="en-US"/>
        </w:rPr>
        <w:t>“</w:t>
      </w:r>
      <w:r w:rsidR="000937CA" w:rsidRPr="0031387D">
        <w:rPr>
          <w:i/>
          <w:iCs/>
          <w:szCs w:val="22"/>
          <w:lang w:val="en-US"/>
        </w:rPr>
        <w:t>The collaboration between our respective research teams enabled us to adapt the tools developed in the context of financial asset management to the specific universe of non-listed real estate investment funds, and SCPIs in particular. The results of this research are directly operational with a view to improving the SCPI investment process both for individual savers and institutional investors.</w:t>
      </w:r>
      <w:r w:rsidR="00544FAD" w:rsidRPr="0031387D">
        <w:rPr>
          <w:i/>
          <w:iCs/>
          <w:szCs w:val="22"/>
          <w:lang w:val="en-US"/>
        </w:rPr>
        <w:t xml:space="preserve">”  </w:t>
      </w:r>
    </w:p>
    <w:p w14:paraId="38C2AD5C" w14:textId="77777777" w:rsidR="00AA3F38" w:rsidRPr="00DA6BBF" w:rsidRDefault="00AA3F38" w:rsidP="00463C32">
      <w:pPr>
        <w:spacing w:line="280" w:lineRule="atLeast"/>
        <w:jc w:val="both"/>
        <w:rPr>
          <w:snapToGrid w:val="0"/>
          <w:color w:val="000000"/>
          <w:szCs w:val="22"/>
          <w:lang w:val="en-US"/>
        </w:rPr>
      </w:pPr>
    </w:p>
    <w:p w14:paraId="771AE6DE" w14:textId="1ABB300F" w:rsidR="00C13D35" w:rsidRPr="0031387D" w:rsidRDefault="00C96DA4" w:rsidP="00C13D35">
      <w:pPr>
        <w:jc w:val="both"/>
        <w:rPr>
          <w:rFonts w:cs="Arial"/>
          <w:i/>
          <w:iCs/>
          <w:szCs w:val="22"/>
          <w:lang w:val="en-US"/>
        </w:rPr>
      </w:pPr>
      <w:r w:rsidRPr="00DA6BBF">
        <w:rPr>
          <w:rFonts w:cs="Arial"/>
          <w:szCs w:val="22"/>
          <w:lang w:val="en-US"/>
        </w:rPr>
        <w:t xml:space="preserve">Commenting on this research, </w:t>
      </w:r>
      <w:r>
        <w:rPr>
          <w:rFonts w:cs="Arial"/>
          <w:szCs w:val="22"/>
          <w:lang w:val="en-US"/>
        </w:rPr>
        <w:t xml:space="preserve">Béatrice </w:t>
      </w:r>
      <w:proofErr w:type="spellStart"/>
      <w:r>
        <w:rPr>
          <w:rFonts w:cs="Arial"/>
          <w:szCs w:val="22"/>
          <w:lang w:val="en-US"/>
        </w:rPr>
        <w:t>Guedj</w:t>
      </w:r>
      <w:proofErr w:type="spellEnd"/>
      <w:r w:rsidRPr="00DA6BBF">
        <w:rPr>
          <w:rFonts w:cs="Arial"/>
          <w:szCs w:val="22"/>
          <w:lang w:val="en-US"/>
        </w:rPr>
        <w:t xml:space="preserve">, </w:t>
      </w:r>
      <w:r w:rsidR="00526B08">
        <w:rPr>
          <w:rFonts w:cs="Arial"/>
          <w:szCs w:val="22"/>
          <w:lang w:val="en-US"/>
        </w:rPr>
        <w:t>Head</w:t>
      </w:r>
      <w:r w:rsidRPr="00DA6BBF">
        <w:rPr>
          <w:rFonts w:cs="Arial"/>
          <w:szCs w:val="22"/>
          <w:lang w:val="en-US"/>
        </w:rPr>
        <w:t xml:space="preserve"> </w:t>
      </w:r>
      <w:r>
        <w:rPr>
          <w:rFonts w:cs="Arial"/>
          <w:szCs w:val="22"/>
          <w:lang w:val="en-US"/>
        </w:rPr>
        <w:t>Research &amp; Innovation at Swiss Life Asset Managers</w:t>
      </w:r>
      <w:r w:rsidR="00526B08">
        <w:rPr>
          <w:rFonts w:cs="Arial"/>
          <w:szCs w:val="22"/>
          <w:lang w:val="en-US"/>
        </w:rPr>
        <w:t xml:space="preserve"> France</w:t>
      </w:r>
      <w:r w:rsidRPr="00DA6BBF">
        <w:rPr>
          <w:rFonts w:cs="Arial"/>
          <w:szCs w:val="22"/>
          <w:lang w:val="en-US"/>
        </w:rPr>
        <w:t xml:space="preserve">, said, </w:t>
      </w:r>
      <w:r w:rsidRPr="0031387D">
        <w:rPr>
          <w:rFonts w:cs="Arial"/>
          <w:i/>
          <w:iCs/>
          <w:szCs w:val="22"/>
          <w:lang w:val="en-US"/>
        </w:rPr>
        <w:t>“</w:t>
      </w:r>
      <w:r w:rsidR="002E5B90" w:rsidRPr="0031387D">
        <w:rPr>
          <w:rFonts w:cs="Arial"/>
          <w:i/>
          <w:iCs/>
          <w:szCs w:val="22"/>
          <w:lang w:val="en-US"/>
        </w:rPr>
        <w:t>Given the increasing appetite for SCPIs vehicles, a building block for a long term investment</w:t>
      </w:r>
      <w:r w:rsidR="00BF4654" w:rsidRPr="0031387D">
        <w:rPr>
          <w:rFonts w:cs="Arial"/>
          <w:i/>
          <w:iCs/>
          <w:szCs w:val="22"/>
          <w:lang w:val="en-US"/>
        </w:rPr>
        <w:t>, both households and institutional investor</w:t>
      </w:r>
      <w:r w:rsidR="001E277D" w:rsidRPr="0031387D">
        <w:rPr>
          <w:rFonts w:cs="Arial"/>
          <w:i/>
          <w:iCs/>
          <w:szCs w:val="22"/>
          <w:lang w:val="en-US"/>
        </w:rPr>
        <w:t>s</w:t>
      </w:r>
      <w:r w:rsidR="00BF4654" w:rsidRPr="0031387D">
        <w:rPr>
          <w:rFonts w:cs="Arial"/>
          <w:i/>
          <w:iCs/>
          <w:szCs w:val="22"/>
          <w:lang w:val="en-US"/>
        </w:rPr>
        <w:t xml:space="preserve"> should </w:t>
      </w:r>
      <w:r w:rsidR="001E277D" w:rsidRPr="0031387D">
        <w:rPr>
          <w:rFonts w:cs="Arial"/>
          <w:i/>
          <w:iCs/>
          <w:szCs w:val="22"/>
          <w:lang w:val="en-US"/>
        </w:rPr>
        <w:t>remember</w:t>
      </w:r>
      <w:r w:rsidR="00BF4654" w:rsidRPr="0031387D">
        <w:rPr>
          <w:rFonts w:cs="Arial"/>
          <w:i/>
          <w:iCs/>
          <w:szCs w:val="22"/>
          <w:lang w:val="en-US"/>
        </w:rPr>
        <w:t xml:space="preserve">: </w:t>
      </w:r>
      <w:r w:rsidR="00C85510" w:rsidRPr="0031387D">
        <w:rPr>
          <w:rFonts w:cs="Arial"/>
          <w:i/>
          <w:iCs/>
          <w:szCs w:val="22"/>
          <w:lang w:val="en-US"/>
        </w:rPr>
        <w:t xml:space="preserve">firstly, </w:t>
      </w:r>
      <w:r w:rsidR="00127776" w:rsidRPr="0031387D">
        <w:rPr>
          <w:rFonts w:cs="Arial"/>
          <w:i/>
          <w:iCs/>
          <w:szCs w:val="22"/>
          <w:lang w:val="en-US"/>
        </w:rPr>
        <w:t>risk-adjusted performance</w:t>
      </w:r>
      <w:r w:rsidR="00BF4654" w:rsidRPr="0031387D">
        <w:rPr>
          <w:rFonts w:cs="Arial"/>
          <w:i/>
          <w:iCs/>
          <w:szCs w:val="22"/>
          <w:lang w:val="en-US"/>
        </w:rPr>
        <w:t xml:space="preserve"> is driven by price return</w:t>
      </w:r>
      <w:r w:rsidR="001E277D" w:rsidRPr="0031387D">
        <w:rPr>
          <w:rFonts w:cs="Arial"/>
          <w:i/>
          <w:iCs/>
          <w:szCs w:val="22"/>
          <w:lang w:val="en-US"/>
        </w:rPr>
        <w:t xml:space="preserve"> not by yield</w:t>
      </w:r>
      <w:r w:rsidR="00C85510" w:rsidRPr="0031387D">
        <w:rPr>
          <w:rFonts w:cs="Arial"/>
          <w:i/>
          <w:iCs/>
          <w:szCs w:val="22"/>
          <w:lang w:val="en-US"/>
        </w:rPr>
        <w:t>; secondly,</w:t>
      </w:r>
      <w:r w:rsidR="00BF4654" w:rsidRPr="0031387D">
        <w:rPr>
          <w:rFonts w:cs="Arial"/>
          <w:i/>
          <w:iCs/>
          <w:szCs w:val="22"/>
          <w:lang w:val="en-US"/>
        </w:rPr>
        <w:t xml:space="preserve"> selection on size, volatility and track record </w:t>
      </w:r>
      <w:r w:rsidR="001E277D" w:rsidRPr="0031387D">
        <w:rPr>
          <w:rFonts w:cs="Arial"/>
          <w:i/>
          <w:iCs/>
          <w:szCs w:val="22"/>
          <w:lang w:val="en-US"/>
        </w:rPr>
        <w:t>are</w:t>
      </w:r>
      <w:r w:rsidR="00BF4654" w:rsidRPr="0031387D">
        <w:rPr>
          <w:rFonts w:cs="Arial"/>
          <w:i/>
          <w:iCs/>
          <w:szCs w:val="22"/>
          <w:lang w:val="en-US"/>
        </w:rPr>
        <w:t xml:space="preserve"> relevant for an optimal allocation process</w:t>
      </w:r>
      <w:r w:rsidR="00C85510" w:rsidRPr="0031387D">
        <w:rPr>
          <w:rFonts w:cs="Arial"/>
          <w:i/>
          <w:iCs/>
          <w:szCs w:val="22"/>
          <w:lang w:val="en-US"/>
        </w:rPr>
        <w:t xml:space="preserve">. </w:t>
      </w:r>
      <w:r w:rsidR="001E277D" w:rsidRPr="0031387D">
        <w:rPr>
          <w:rFonts w:cs="Arial"/>
          <w:i/>
          <w:iCs/>
          <w:szCs w:val="22"/>
          <w:lang w:val="en-US"/>
        </w:rPr>
        <w:t>Thirdly</w:t>
      </w:r>
      <w:r w:rsidR="00C85510" w:rsidRPr="0031387D">
        <w:rPr>
          <w:rFonts w:cs="Arial"/>
          <w:i/>
          <w:iCs/>
          <w:szCs w:val="22"/>
          <w:lang w:val="en-US"/>
        </w:rPr>
        <w:t xml:space="preserve">, material diversification, as chased by </w:t>
      </w:r>
      <w:r w:rsidR="001E277D" w:rsidRPr="0031387D">
        <w:rPr>
          <w:rFonts w:cs="Arial"/>
          <w:i/>
          <w:iCs/>
          <w:szCs w:val="22"/>
          <w:lang w:val="en-US"/>
        </w:rPr>
        <w:t xml:space="preserve">both savers and </w:t>
      </w:r>
      <w:r w:rsidR="00C85510" w:rsidRPr="0031387D">
        <w:rPr>
          <w:rFonts w:cs="Arial"/>
          <w:i/>
          <w:iCs/>
          <w:szCs w:val="22"/>
          <w:lang w:val="en-US"/>
        </w:rPr>
        <w:t xml:space="preserve">investors, would be achieve through a </w:t>
      </w:r>
      <w:r w:rsidR="001E277D" w:rsidRPr="0031387D">
        <w:rPr>
          <w:rFonts w:cs="Arial"/>
          <w:i/>
          <w:iCs/>
          <w:szCs w:val="22"/>
          <w:lang w:val="en-US"/>
        </w:rPr>
        <w:t>portfolio of 10 SCPIs</w:t>
      </w:r>
      <w:r w:rsidR="00C85510" w:rsidRPr="0031387D">
        <w:rPr>
          <w:rFonts w:cs="Arial"/>
          <w:i/>
          <w:iCs/>
          <w:szCs w:val="22"/>
          <w:lang w:val="en-US"/>
        </w:rPr>
        <w:t xml:space="preserve">. </w:t>
      </w:r>
      <w:r w:rsidR="001E277D" w:rsidRPr="0031387D">
        <w:rPr>
          <w:rFonts w:cs="Arial"/>
          <w:i/>
          <w:iCs/>
          <w:szCs w:val="22"/>
          <w:lang w:val="en-US"/>
        </w:rPr>
        <w:t xml:space="preserve">The challenge is now to find </w:t>
      </w:r>
      <w:r w:rsidR="005148F4" w:rsidRPr="0031387D">
        <w:rPr>
          <w:rFonts w:cs="Arial"/>
          <w:i/>
          <w:iCs/>
          <w:szCs w:val="22"/>
          <w:lang w:val="en-US"/>
        </w:rPr>
        <w:t>the best</w:t>
      </w:r>
      <w:r w:rsidR="001E277D" w:rsidRPr="0031387D">
        <w:rPr>
          <w:rFonts w:cs="Arial"/>
          <w:i/>
          <w:iCs/>
          <w:szCs w:val="22"/>
          <w:lang w:val="en-US"/>
        </w:rPr>
        <w:t xml:space="preserve"> route </w:t>
      </w:r>
      <w:r w:rsidR="005148F4" w:rsidRPr="0031387D">
        <w:rPr>
          <w:rFonts w:cs="Arial"/>
          <w:i/>
          <w:iCs/>
          <w:szCs w:val="22"/>
          <w:lang w:val="en-US"/>
        </w:rPr>
        <w:t xml:space="preserve">to </w:t>
      </w:r>
      <w:r w:rsidR="001E277D" w:rsidRPr="0031387D">
        <w:rPr>
          <w:rFonts w:cs="Arial"/>
          <w:i/>
          <w:iCs/>
          <w:szCs w:val="22"/>
          <w:lang w:val="en-US"/>
        </w:rPr>
        <w:t>efficiently implement such a</w:t>
      </w:r>
      <w:r w:rsidR="00794EEE" w:rsidRPr="0031387D">
        <w:rPr>
          <w:rFonts w:cs="Arial"/>
          <w:i/>
          <w:iCs/>
          <w:szCs w:val="22"/>
          <w:lang w:val="en-US"/>
        </w:rPr>
        <w:t>n open architecture</w:t>
      </w:r>
      <w:r w:rsidR="001E277D" w:rsidRPr="0031387D">
        <w:rPr>
          <w:rFonts w:cs="Arial"/>
          <w:i/>
          <w:iCs/>
          <w:szCs w:val="22"/>
          <w:lang w:val="en-US"/>
        </w:rPr>
        <w:t xml:space="preserve"> multi-management solution for the benefits of all</w:t>
      </w:r>
      <w:r w:rsidR="00093F5D">
        <w:rPr>
          <w:rFonts w:cs="Arial"/>
          <w:i/>
          <w:iCs/>
          <w:szCs w:val="22"/>
          <w:lang w:val="en-US"/>
        </w:rPr>
        <w:t>.</w:t>
      </w:r>
      <w:r w:rsidR="00794EEE" w:rsidRPr="0031387D">
        <w:rPr>
          <w:rFonts w:cs="Arial"/>
          <w:i/>
          <w:iCs/>
          <w:szCs w:val="22"/>
          <w:lang w:val="en-US"/>
        </w:rPr>
        <w:t>”</w:t>
      </w:r>
      <w:bookmarkStart w:id="1" w:name="_GoBack"/>
      <w:bookmarkEnd w:id="1"/>
      <w:r w:rsidR="001E277D" w:rsidRPr="0031387D">
        <w:rPr>
          <w:rFonts w:cs="Arial"/>
          <w:i/>
          <w:iCs/>
          <w:szCs w:val="22"/>
          <w:lang w:val="en-US"/>
        </w:rPr>
        <w:t xml:space="preserve"> </w:t>
      </w:r>
    </w:p>
    <w:p w14:paraId="0CA2DFF2" w14:textId="77777777" w:rsidR="001C70E1" w:rsidRPr="00DA6BBF" w:rsidRDefault="001C70E1" w:rsidP="00C13D35">
      <w:pPr>
        <w:jc w:val="both"/>
        <w:rPr>
          <w:i/>
          <w:iCs/>
          <w:sz w:val="24"/>
          <w:lang w:val="en-US"/>
        </w:rPr>
      </w:pPr>
    </w:p>
    <w:p w14:paraId="38E06420" w14:textId="038F8171" w:rsidR="00C13D35" w:rsidRPr="0031387D" w:rsidRDefault="00C13D35" w:rsidP="001C70E1">
      <w:pPr>
        <w:jc w:val="both"/>
        <w:rPr>
          <w:rFonts w:cs="Arial"/>
          <w:i/>
          <w:iCs/>
          <w:szCs w:val="22"/>
          <w:lang w:val="en-US"/>
        </w:rPr>
      </w:pPr>
      <w:r w:rsidRPr="00DA6BBF">
        <w:rPr>
          <w:szCs w:val="22"/>
          <w:lang w:val="en-US" w:eastAsia="de-DE"/>
        </w:rPr>
        <w:t xml:space="preserve">Commenting on the results of the </w:t>
      </w:r>
      <w:r w:rsidR="00927623" w:rsidRPr="00DA6BBF">
        <w:rPr>
          <w:szCs w:val="22"/>
          <w:lang w:val="en-US" w:eastAsia="de-DE"/>
        </w:rPr>
        <w:t>Paper</w:t>
      </w:r>
      <w:r w:rsidRPr="0031387D">
        <w:rPr>
          <w:rFonts w:cs="Arial"/>
          <w:szCs w:val="22"/>
          <w:lang w:val="en-US"/>
        </w:rPr>
        <w:t>, Shahyar Saf</w:t>
      </w:r>
      <w:r w:rsidR="00910963" w:rsidRPr="0031387D">
        <w:rPr>
          <w:rFonts w:cs="Arial"/>
          <w:szCs w:val="22"/>
          <w:lang w:val="en-US"/>
        </w:rPr>
        <w:t>a</w:t>
      </w:r>
      <w:r w:rsidRPr="0031387D">
        <w:rPr>
          <w:rFonts w:cs="Arial"/>
          <w:szCs w:val="22"/>
          <w:lang w:val="en-US"/>
        </w:rPr>
        <w:t xml:space="preserve">ee, Research Engineer, EDHEC-Risk Institute: </w:t>
      </w:r>
      <w:r w:rsidR="000937CA" w:rsidRPr="0031387D">
        <w:rPr>
          <w:rFonts w:cs="Arial"/>
          <w:i/>
          <w:iCs/>
          <w:szCs w:val="22"/>
          <w:lang w:val="en-US"/>
        </w:rPr>
        <w:t>“</w:t>
      </w:r>
      <w:r w:rsidR="00640D33" w:rsidRPr="0031387D">
        <w:rPr>
          <w:rFonts w:cs="Arial"/>
          <w:i/>
          <w:iCs/>
          <w:szCs w:val="22"/>
          <w:lang w:val="en-US"/>
        </w:rPr>
        <w:t xml:space="preserve">The </w:t>
      </w:r>
      <w:r w:rsidR="005B223D" w:rsidRPr="0031387D">
        <w:rPr>
          <w:rFonts w:cs="Arial"/>
          <w:i/>
          <w:iCs/>
          <w:szCs w:val="22"/>
          <w:lang w:val="en-US"/>
        </w:rPr>
        <w:t>a</w:t>
      </w:r>
      <w:r w:rsidR="000937CA" w:rsidRPr="0031387D">
        <w:rPr>
          <w:rFonts w:cs="Arial"/>
          <w:i/>
          <w:iCs/>
          <w:szCs w:val="22"/>
          <w:lang w:val="en-US"/>
        </w:rPr>
        <w:t xml:space="preserve">nalysis of the risk-return profile of SCPIs reveals a </w:t>
      </w:r>
      <w:r w:rsidR="00640D33" w:rsidRPr="0031387D">
        <w:rPr>
          <w:rFonts w:cs="Arial"/>
          <w:i/>
          <w:iCs/>
          <w:szCs w:val="22"/>
          <w:lang w:val="en-US"/>
        </w:rPr>
        <w:t xml:space="preserve">diverse </w:t>
      </w:r>
      <w:r w:rsidR="000937CA" w:rsidRPr="0031387D">
        <w:rPr>
          <w:rFonts w:cs="Arial"/>
          <w:i/>
          <w:iCs/>
          <w:szCs w:val="22"/>
          <w:lang w:val="en-US"/>
        </w:rPr>
        <w:t xml:space="preserve">and heterogeneous universe of real estate investment funds </w:t>
      </w:r>
      <w:r w:rsidR="003D122C" w:rsidRPr="0031387D">
        <w:rPr>
          <w:rFonts w:cs="Arial"/>
          <w:i/>
          <w:iCs/>
          <w:szCs w:val="22"/>
          <w:lang w:val="en-US"/>
        </w:rPr>
        <w:t xml:space="preserve">where </w:t>
      </w:r>
      <w:r w:rsidR="000937CA" w:rsidRPr="0031387D">
        <w:rPr>
          <w:rFonts w:cs="Arial"/>
          <w:i/>
          <w:iCs/>
          <w:szCs w:val="22"/>
          <w:lang w:val="en-US"/>
        </w:rPr>
        <w:t xml:space="preserve">long-term performance </w:t>
      </w:r>
      <w:r w:rsidR="00DF3228" w:rsidRPr="0031387D">
        <w:rPr>
          <w:rFonts w:cs="Arial"/>
          <w:i/>
          <w:iCs/>
          <w:szCs w:val="22"/>
          <w:lang w:val="en-US"/>
        </w:rPr>
        <w:t>dispersion</w:t>
      </w:r>
      <w:r w:rsidR="000937CA" w:rsidRPr="0031387D">
        <w:rPr>
          <w:rFonts w:cs="Arial"/>
          <w:i/>
          <w:iCs/>
          <w:szCs w:val="22"/>
          <w:lang w:val="en-US"/>
        </w:rPr>
        <w:t xml:space="preserve">, contrary to what one might think, </w:t>
      </w:r>
      <w:r w:rsidR="007371B7" w:rsidRPr="0031387D">
        <w:rPr>
          <w:rFonts w:cs="Arial"/>
          <w:i/>
          <w:iCs/>
          <w:szCs w:val="22"/>
          <w:lang w:val="en-US"/>
        </w:rPr>
        <w:t xml:space="preserve">is </w:t>
      </w:r>
      <w:r w:rsidR="000937CA" w:rsidRPr="0031387D">
        <w:rPr>
          <w:rFonts w:cs="Arial"/>
          <w:i/>
          <w:iCs/>
          <w:szCs w:val="22"/>
          <w:lang w:val="en-US"/>
        </w:rPr>
        <w:t xml:space="preserve">primarily due to differences in price returns rather than dividend yields. Such significant performance </w:t>
      </w:r>
      <w:r w:rsidR="005B223D" w:rsidRPr="0031387D">
        <w:rPr>
          <w:rFonts w:cs="Arial"/>
          <w:i/>
          <w:iCs/>
          <w:szCs w:val="22"/>
          <w:lang w:val="en-US"/>
        </w:rPr>
        <w:t xml:space="preserve">dispersion </w:t>
      </w:r>
      <w:r w:rsidR="000937CA" w:rsidRPr="0031387D">
        <w:rPr>
          <w:rFonts w:cs="Arial"/>
          <w:i/>
          <w:iCs/>
          <w:szCs w:val="22"/>
          <w:lang w:val="en-US"/>
        </w:rPr>
        <w:t xml:space="preserve">should encourage investors to implement an allocation process. In particular, we observe a decrease in the </w:t>
      </w:r>
      <w:r w:rsidR="00CF536E" w:rsidRPr="0031387D">
        <w:rPr>
          <w:rFonts w:cs="Arial"/>
          <w:i/>
          <w:iCs/>
          <w:szCs w:val="22"/>
          <w:lang w:val="en-US"/>
        </w:rPr>
        <w:t xml:space="preserve">average </w:t>
      </w:r>
      <w:r w:rsidR="000937CA" w:rsidRPr="0031387D">
        <w:rPr>
          <w:rFonts w:cs="Arial"/>
          <w:i/>
          <w:iCs/>
          <w:szCs w:val="22"/>
          <w:lang w:val="en-US"/>
        </w:rPr>
        <w:t xml:space="preserve">risk of SCPI </w:t>
      </w:r>
      <w:r w:rsidR="001C70E1" w:rsidRPr="0031387D">
        <w:rPr>
          <w:rFonts w:cs="Arial"/>
          <w:i/>
          <w:iCs/>
          <w:szCs w:val="22"/>
          <w:lang w:val="en-US"/>
        </w:rPr>
        <w:t>portfolios as</w:t>
      </w:r>
      <w:r w:rsidR="007D1C9C" w:rsidRPr="0031387D">
        <w:rPr>
          <w:rFonts w:cs="Arial"/>
          <w:i/>
          <w:iCs/>
          <w:szCs w:val="22"/>
          <w:lang w:val="en-US"/>
        </w:rPr>
        <w:t xml:space="preserve"> the</w:t>
      </w:r>
      <w:r w:rsidR="004E7CAA" w:rsidRPr="0031387D">
        <w:rPr>
          <w:rFonts w:cs="Arial"/>
          <w:i/>
          <w:iCs/>
          <w:szCs w:val="22"/>
          <w:lang w:val="en-US"/>
        </w:rPr>
        <w:t>ir</w:t>
      </w:r>
      <w:r w:rsidR="007D1C9C" w:rsidRPr="0031387D">
        <w:rPr>
          <w:rFonts w:cs="Arial"/>
          <w:i/>
          <w:iCs/>
          <w:szCs w:val="22"/>
          <w:lang w:val="en-US"/>
        </w:rPr>
        <w:t xml:space="preserve"> number of </w:t>
      </w:r>
      <w:proofErr w:type="gramStart"/>
      <w:r w:rsidR="007D1C9C" w:rsidRPr="0031387D">
        <w:rPr>
          <w:rFonts w:cs="Arial"/>
          <w:i/>
          <w:iCs/>
          <w:szCs w:val="22"/>
          <w:lang w:val="en-US"/>
        </w:rPr>
        <w:t>constituents</w:t>
      </w:r>
      <w:proofErr w:type="gramEnd"/>
      <w:r w:rsidR="007D1C9C" w:rsidRPr="0031387D">
        <w:rPr>
          <w:rFonts w:cs="Arial"/>
          <w:i/>
          <w:iCs/>
          <w:szCs w:val="22"/>
          <w:lang w:val="en-US"/>
        </w:rPr>
        <w:t xml:space="preserve"> increases, </w:t>
      </w:r>
      <w:r w:rsidR="00F6307E" w:rsidRPr="0031387D">
        <w:rPr>
          <w:rFonts w:cs="Arial"/>
          <w:i/>
          <w:iCs/>
          <w:szCs w:val="22"/>
          <w:lang w:val="en-US"/>
        </w:rPr>
        <w:t xml:space="preserve">and </w:t>
      </w:r>
      <w:r w:rsidR="000937CA" w:rsidRPr="0031387D">
        <w:rPr>
          <w:rFonts w:cs="Arial"/>
          <w:i/>
          <w:iCs/>
          <w:szCs w:val="22"/>
          <w:lang w:val="en-US"/>
        </w:rPr>
        <w:t xml:space="preserve">the fact that </w:t>
      </w:r>
      <w:r w:rsidR="00753408" w:rsidRPr="0031387D">
        <w:rPr>
          <w:rFonts w:cs="Arial"/>
          <w:i/>
          <w:iCs/>
          <w:szCs w:val="22"/>
          <w:lang w:val="en-US"/>
        </w:rPr>
        <w:t xml:space="preserve">as </w:t>
      </w:r>
      <w:r w:rsidR="008F5721" w:rsidRPr="0031387D">
        <w:rPr>
          <w:rFonts w:cs="Arial"/>
          <w:i/>
          <w:iCs/>
          <w:szCs w:val="22"/>
          <w:lang w:val="en-US"/>
        </w:rPr>
        <w:t>few</w:t>
      </w:r>
      <w:r w:rsidR="00753408" w:rsidRPr="0031387D">
        <w:rPr>
          <w:rFonts w:cs="Arial"/>
          <w:i/>
          <w:iCs/>
          <w:szCs w:val="22"/>
          <w:lang w:val="en-US"/>
        </w:rPr>
        <w:t xml:space="preserve"> as </w:t>
      </w:r>
      <w:r w:rsidR="000937CA" w:rsidRPr="0031387D">
        <w:rPr>
          <w:rFonts w:cs="Arial"/>
          <w:i/>
          <w:iCs/>
          <w:szCs w:val="22"/>
          <w:lang w:val="en-US"/>
        </w:rPr>
        <w:t xml:space="preserve">10 SCPIs </w:t>
      </w:r>
      <w:r w:rsidR="00AA5CF1" w:rsidRPr="0031387D">
        <w:rPr>
          <w:rFonts w:cs="Arial"/>
          <w:i/>
          <w:iCs/>
          <w:szCs w:val="22"/>
          <w:lang w:val="en-US"/>
        </w:rPr>
        <w:t xml:space="preserve">are </w:t>
      </w:r>
      <w:r w:rsidR="000937CA" w:rsidRPr="0031387D">
        <w:rPr>
          <w:rFonts w:cs="Arial"/>
          <w:i/>
          <w:iCs/>
          <w:szCs w:val="22"/>
          <w:lang w:val="en-US"/>
        </w:rPr>
        <w:t xml:space="preserve">sufficient to achieve significant diversification raises the question of selection. To </w:t>
      </w:r>
      <w:r w:rsidR="00993A8E" w:rsidRPr="0031387D">
        <w:rPr>
          <w:rFonts w:cs="Arial"/>
          <w:i/>
          <w:iCs/>
          <w:szCs w:val="22"/>
          <w:lang w:val="en-US"/>
        </w:rPr>
        <w:t xml:space="preserve">this </w:t>
      </w:r>
      <w:r w:rsidR="00FF4792" w:rsidRPr="0031387D">
        <w:rPr>
          <w:rFonts w:cs="Arial"/>
          <w:i/>
          <w:iCs/>
          <w:szCs w:val="22"/>
          <w:lang w:val="en-US"/>
        </w:rPr>
        <w:t>end</w:t>
      </w:r>
      <w:r w:rsidR="000937CA" w:rsidRPr="0031387D">
        <w:rPr>
          <w:rFonts w:cs="Arial"/>
          <w:i/>
          <w:iCs/>
          <w:szCs w:val="22"/>
          <w:lang w:val="en-US"/>
        </w:rPr>
        <w:t xml:space="preserve">, investors could look at observable and differentiating SCPI attributes such as size or past performance to build a </w:t>
      </w:r>
      <w:r w:rsidR="00766200" w:rsidRPr="0031387D">
        <w:rPr>
          <w:rFonts w:cs="Arial"/>
          <w:i/>
          <w:iCs/>
          <w:szCs w:val="22"/>
          <w:lang w:val="en-US"/>
        </w:rPr>
        <w:t xml:space="preserve">value-adding </w:t>
      </w:r>
      <w:r w:rsidR="000937CA" w:rsidRPr="0031387D">
        <w:rPr>
          <w:rFonts w:cs="Arial"/>
          <w:i/>
          <w:iCs/>
          <w:szCs w:val="22"/>
          <w:lang w:val="en-US"/>
        </w:rPr>
        <w:t>selection process</w:t>
      </w:r>
      <w:r w:rsidR="00722039" w:rsidRPr="0031387D">
        <w:rPr>
          <w:rFonts w:cs="Arial"/>
          <w:i/>
          <w:iCs/>
          <w:szCs w:val="22"/>
          <w:lang w:val="en-US"/>
        </w:rPr>
        <w:t>.</w:t>
      </w:r>
      <w:r w:rsidR="000937CA" w:rsidRPr="0031387D">
        <w:rPr>
          <w:rFonts w:cs="Arial"/>
          <w:i/>
          <w:iCs/>
          <w:szCs w:val="22"/>
          <w:lang w:val="en-US"/>
        </w:rPr>
        <w:t>”</w:t>
      </w:r>
    </w:p>
    <w:p w14:paraId="6F8F434A" w14:textId="77777777" w:rsidR="00C13D35" w:rsidRPr="0031387D" w:rsidRDefault="00C13D35" w:rsidP="00C13D35">
      <w:pPr>
        <w:rPr>
          <w:rFonts w:cs="Arial"/>
          <w:szCs w:val="22"/>
          <w:lang w:val="en-US"/>
        </w:rPr>
      </w:pPr>
    </w:p>
    <w:p w14:paraId="43EAFAA2" w14:textId="4578C544" w:rsidR="00B405D4" w:rsidRDefault="00B405D4" w:rsidP="00B405D4">
      <w:pPr>
        <w:jc w:val="both"/>
        <w:rPr>
          <w:snapToGrid w:val="0"/>
          <w:color w:val="000000"/>
        </w:rPr>
      </w:pPr>
      <w:r>
        <w:t>A copy</w:t>
      </w:r>
      <w:r>
        <w:rPr>
          <w:snapToGrid w:val="0"/>
          <w:color w:val="000000"/>
        </w:rPr>
        <w:t xml:space="preserve"> of the publication can be downloaded via the following link:</w:t>
      </w:r>
    </w:p>
    <w:p w14:paraId="45349BB1" w14:textId="0E45B4EA" w:rsidR="009158FA" w:rsidRDefault="009158FA" w:rsidP="00B405D4">
      <w:pPr>
        <w:jc w:val="both"/>
        <w:rPr>
          <w:snapToGrid w:val="0"/>
          <w:color w:val="000000"/>
        </w:rPr>
      </w:pPr>
    </w:p>
    <w:p w14:paraId="07E27DB9" w14:textId="77777777" w:rsidR="009158FA" w:rsidRPr="0004000E" w:rsidRDefault="00760D97" w:rsidP="009158FA">
      <w:pPr>
        <w:spacing w:line="280" w:lineRule="atLeast"/>
        <w:jc w:val="both"/>
        <w:rPr>
          <w:snapToGrid w:val="0"/>
          <w:color w:val="000000"/>
          <w:szCs w:val="22"/>
        </w:rPr>
      </w:pPr>
      <w:hyperlink r:id="rId13" w:history="1">
        <w:r w:rsidR="009158FA" w:rsidRPr="006D61AF">
          <w:rPr>
            <w:rStyle w:val="Lienhypertexte"/>
            <w:rFonts w:eastAsia="SimSun"/>
          </w:rPr>
          <w:t xml:space="preserve">EDHEC-Risk Institute Publication: Benefits of Open Architecture and Multi-Management in Real Estate Markets—Evidence from French </w:t>
        </w:r>
        <w:proofErr w:type="spellStart"/>
        <w:r w:rsidR="009158FA" w:rsidRPr="006D61AF">
          <w:rPr>
            <w:rStyle w:val="Lienhypertexte"/>
            <w:rFonts w:eastAsia="SimSun"/>
          </w:rPr>
          <w:t>Nonlisted</w:t>
        </w:r>
        <w:proofErr w:type="spellEnd"/>
        <w:r w:rsidR="009158FA" w:rsidRPr="006D61AF">
          <w:rPr>
            <w:rStyle w:val="Lienhypertexte"/>
            <w:rFonts w:eastAsia="SimSun"/>
          </w:rPr>
          <w:t xml:space="preserve"> Investment Trusts</w:t>
        </w:r>
      </w:hyperlink>
    </w:p>
    <w:p w14:paraId="289E043A" w14:textId="77777777" w:rsidR="00B405D4" w:rsidRDefault="00B405D4" w:rsidP="00463C32">
      <w:pPr>
        <w:spacing w:line="280" w:lineRule="atLeast"/>
        <w:jc w:val="both"/>
        <w:rPr>
          <w:snapToGrid w:val="0"/>
          <w:color w:val="000000"/>
          <w:szCs w:val="22"/>
        </w:rPr>
      </w:pPr>
    </w:p>
    <w:p w14:paraId="6E4744FB" w14:textId="5DF52D66" w:rsidR="009158FA" w:rsidRPr="0031387D" w:rsidRDefault="001F5E8D" w:rsidP="009158FA">
      <w:pPr>
        <w:jc w:val="both"/>
        <w:rPr>
          <w:rFonts w:cs="Arial"/>
          <w:lang w:val="en-US"/>
        </w:rPr>
      </w:pPr>
      <w:r>
        <w:rPr>
          <w:rFonts w:cs="Arial"/>
        </w:rPr>
        <w:t xml:space="preserve">You can access the editorial – </w:t>
      </w:r>
      <w:hyperlink r:id="rId14" w:history="1">
        <w:r>
          <w:rPr>
            <w:rStyle w:val="Lienhypertexte"/>
            <w:rFonts w:eastAsia="SimSun" w:cs="Arial"/>
          </w:rPr>
          <w:t>A Case Study in Real Asset Investing: the French Non-Listed Real Estate Fund Market</w:t>
        </w:r>
      </w:hyperlink>
      <w:r>
        <w:rPr>
          <w:rFonts w:cs="Arial"/>
        </w:rPr>
        <w:t xml:space="preserve"> – published in the April edition of EDHEC-Risk Institute quarterly newsletter</w:t>
      </w:r>
      <w:r w:rsidRPr="005C3F17">
        <w:rPr>
          <w:rFonts w:cs="Arial"/>
        </w:rPr>
        <w:t>.</w:t>
      </w:r>
      <w:r w:rsidR="009158FA" w:rsidRPr="009158FA">
        <w:t xml:space="preserve"> </w:t>
      </w:r>
    </w:p>
    <w:p w14:paraId="55A5B39D" w14:textId="3F2E4878" w:rsidR="001F5E8D" w:rsidRDefault="001F5E8D" w:rsidP="001F5E8D">
      <w:pPr>
        <w:jc w:val="both"/>
        <w:rPr>
          <w:rFonts w:cs="Arial"/>
        </w:rPr>
      </w:pPr>
    </w:p>
    <w:p w14:paraId="0896C6FB" w14:textId="77777777" w:rsidR="00596517" w:rsidRPr="0004000E" w:rsidRDefault="00596517" w:rsidP="00463C32">
      <w:pPr>
        <w:spacing w:line="280" w:lineRule="atLeast"/>
        <w:jc w:val="both"/>
        <w:rPr>
          <w:snapToGrid w:val="0"/>
          <w:color w:val="000000"/>
          <w:szCs w:val="22"/>
        </w:rPr>
      </w:pPr>
    </w:p>
    <w:p w14:paraId="1B5C2FAD" w14:textId="6EF7E18E" w:rsidR="00971FE5" w:rsidRPr="008573A0" w:rsidRDefault="00971FE5" w:rsidP="006D0A82">
      <w:pPr>
        <w:autoSpaceDE w:val="0"/>
        <w:autoSpaceDN w:val="0"/>
        <w:adjustRightInd w:val="0"/>
        <w:spacing w:line="280" w:lineRule="atLeast"/>
        <w:jc w:val="both"/>
        <w:rPr>
          <w:b/>
          <w:szCs w:val="22"/>
        </w:rPr>
      </w:pPr>
      <w:r w:rsidRPr="008573A0">
        <w:rPr>
          <w:b/>
          <w:szCs w:val="22"/>
        </w:rPr>
        <w:t xml:space="preserve">This research was supported by </w:t>
      </w:r>
      <w:r w:rsidR="00B41979" w:rsidRPr="00B41979">
        <w:rPr>
          <w:b/>
          <w:szCs w:val="22"/>
        </w:rPr>
        <w:t>Swiss Life Asset Managers France</w:t>
      </w:r>
      <w:r w:rsidR="00B41979">
        <w:rPr>
          <w:b/>
          <w:szCs w:val="22"/>
        </w:rPr>
        <w:t xml:space="preserve"> </w:t>
      </w:r>
      <w:r w:rsidRPr="008573A0">
        <w:rPr>
          <w:b/>
          <w:szCs w:val="22"/>
        </w:rPr>
        <w:t>as part of EDHEC-Risk Institute</w:t>
      </w:r>
      <w:r w:rsidR="00D23099">
        <w:rPr>
          <w:b/>
          <w:szCs w:val="22"/>
        </w:rPr>
        <w:t>’s</w:t>
      </w:r>
      <w:r w:rsidRPr="008573A0">
        <w:rPr>
          <w:b/>
          <w:szCs w:val="22"/>
        </w:rPr>
        <w:t xml:space="preserve"> “</w:t>
      </w:r>
      <w:r w:rsidR="00B41979" w:rsidRPr="00B41979">
        <w:rPr>
          <w:b/>
          <w:szCs w:val="22"/>
        </w:rPr>
        <w:t>Real Estate in Modern Investment Solutions</w:t>
      </w:r>
      <w:r w:rsidRPr="008573A0">
        <w:rPr>
          <w:b/>
          <w:szCs w:val="22"/>
        </w:rPr>
        <w:t>”</w:t>
      </w:r>
      <w:r w:rsidR="00D23099">
        <w:rPr>
          <w:b/>
          <w:szCs w:val="22"/>
        </w:rPr>
        <w:t xml:space="preserve"> research chair.</w:t>
      </w:r>
      <w:r w:rsidRPr="008573A0">
        <w:rPr>
          <w:b/>
          <w:szCs w:val="22"/>
        </w:rPr>
        <w:t xml:space="preserve"> </w:t>
      </w:r>
    </w:p>
    <w:p w14:paraId="3A9DC4EF" w14:textId="77777777" w:rsidR="00401D12" w:rsidRDefault="00401D12" w:rsidP="00401D12">
      <w:pPr>
        <w:spacing w:line="280" w:lineRule="atLeast"/>
        <w:jc w:val="both"/>
        <w:rPr>
          <w:snapToGrid w:val="0"/>
          <w:color w:val="000000"/>
          <w:szCs w:val="22"/>
        </w:rPr>
      </w:pPr>
    </w:p>
    <w:p w14:paraId="0814D0B0" w14:textId="77777777" w:rsidR="000C54E5" w:rsidRDefault="000C54E5" w:rsidP="000C54E5">
      <w:pPr>
        <w:jc w:val="both"/>
      </w:pPr>
    </w:p>
    <w:p w14:paraId="2196A3DE" w14:textId="77777777" w:rsidR="000C54E5" w:rsidRPr="00F147F4" w:rsidRDefault="000C54E5" w:rsidP="000C54E5">
      <w:pPr>
        <w:autoSpaceDE w:val="0"/>
        <w:autoSpaceDN w:val="0"/>
        <w:adjustRightInd w:val="0"/>
        <w:jc w:val="both"/>
        <w:rPr>
          <w:snapToGrid w:val="0"/>
          <w:color w:val="000000"/>
          <w:szCs w:val="22"/>
        </w:rPr>
      </w:pPr>
      <w:r>
        <w:rPr>
          <w:b/>
          <w:bCs/>
          <w:noProof/>
          <w:sz w:val="28"/>
          <w:szCs w:val="28"/>
          <w:lang w:val="fr-FR"/>
        </w:rPr>
        <mc:AlternateContent>
          <mc:Choice Requires="wpg">
            <w:drawing>
              <wp:anchor distT="0" distB="0" distL="114300" distR="114300" simplePos="0" relativeHeight="251659264" behindDoc="1" locked="0" layoutInCell="1" allowOverlap="1" wp14:anchorId="1F105B45" wp14:editId="518A24DB">
                <wp:simplePos x="0" y="0"/>
                <wp:positionH relativeFrom="column">
                  <wp:posOffset>-76200</wp:posOffset>
                </wp:positionH>
                <wp:positionV relativeFrom="paragraph">
                  <wp:posOffset>172720</wp:posOffset>
                </wp:positionV>
                <wp:extent cx="5829300" cy="952500"/>
                <wp:effectExtent l="0" t="0" r="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952500"/>
                          <a:chOff x="1418" y="1238"/>
                          <a:chExt cx="9180" cy="1620"/>
                        </a:xfrm>
                      </wpg:grpSpPr>
                      <wps:wsp>
                        <wps:cNvPr id="8" name="Rectangle 31"/>
                        <wps:cNvSpPr>
                          <a:spLocks noChangeArrowheads="1"/>
                        </wps:cNvSpPr>
                        <wps:spPr bwMode="auto">
                          <a:xfrm>
                            <a:off x="1418" y="1238"/>
                            <a:ext cx="9180" cy="162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32" descr="edhec logo press releas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95" y="1571"/>
                            <a:ext cx="1009" cy="9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70D1596" id="Groupe 7" o:spid="_x0000_s1026" style="position:absolute;margin-left:-6pt;margin-top:13.6pt;width:459pt;height:75pt;z-index:-251657216" coordorigin="1418,1238" coordsize="91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x1OVKAwAA5gcAAA4AAABkcnMvZTJvRG9jLnhtbKRVbW/bIBD+Pmn/&#10;AfF9dZw2a2PVmaZ2qybtpdrLDyAY22g2MCBxu1+/B7Drpp22aosU6+CO4+65547zVzd9R/bCOqlV&#10;SfOjBSVCcV1J1ZT029e3L84ocZ6pinVaiZLeCkdfbZ4/Ox9MIZa61V0lLIET5YrBlLT13hRZ5ngr&#10;euaOtBEKylrbnnksbZNVlg3w3nfZcrF4mQ3aVsZqLpzD7mVS0k30X9eC+0917YQnXUkRm49fG7/b&#10;8M0256xoLDOt5GMY7B+i6JlUuPTO1SXzjOysfOSql9xqp2t/xHWf6bqWXMQckE2+eJDNldU7E3Np&#10;iqExdzAB2gc4/bNb/nF/bYmsSnpKiWI9ShRvFeQ0YDOYpoDJlTVfzLVNCUJ8r/l3B3X2UB/WTTIm&#10;2+GDruCP7byO2NzUtg8ukDW5iSW4vSuBuPGEY3N1tlwfL1ApDt16tVxBjjXiLQoZjuUnOTgFbb48&#10;Ppt0b8bj6/xsPJu/XMaTGSvSvTHWMbaQGPjmZkjd/0H6pWVGxEq5gNcIKeJMkH4GD5lqOkGO8wRr&#10;NJswdQlQovRFCzPx2lo9tIJViCraI/Z7B8LCoRx/Rfg3UE04/wEoVhjr/JXQPQlCSS2ijwVk+/fO&#10;h7LPJqGeTneyeiu7Li5ss73oLNkzdNxl/IWMceTArFPBWOlwLKnDTswzpJYKtNXVLdK0OrUtxgyE&#10;VtuflAxo2ZK6HztmBSXdOwWo1vnJSejxuDhZnYIAxN7XbO9rmOJwVVJPSRIvfJoLO2Nl0+KmPCat&#10;9GsQuJYx8QB9imoMFhzanBvJC/zH/oT0iEx/n2M45XchlzQL+yf56Jn9vjMvMEoM83IrO+lv41hE&#10;5CEotb+WPKAZFjMv1xMvoQ2XkuMlJZVwHACIqhWcdLrRqD6GKrGiE8zBJpRx8pO8ggaSx1kwU9cZ&#10;sCVgN289YvOhlywsDyLddtJMfAryiAmiezD2fgNrGqmXmu96oXx6I5AC4NHKtdI4cKIQ/VZUIPa7&#10;KrYXuGl56FFkCNlb4XkbxBrsHPcDgSdFjHgOMsT/tH5crVdpdK1Ox4unfswXC1QlDr314dyae+2J&#10;7Tg31RQYuBpE/CNr42MC6eC1ur+OVvPzvPkFAAD//wMAUEsDBAoAAAAAAAAAIQDaybeqPQcAAD0H&#10;AAAVAAAAZHJzL21lZGlhL2ltYWdlMS5qcGVn/9j/4AAQSkZJRgABAgEAYABgAAD/wAARCABCAEID&#10;AREAAhEBAxEB/9sAhAAGBAUGBQQGBgUGBwcGCAoRCwoJCQoVDxAMERkWGhoYFhgXGx8oIRsdJR4X&#10;GCIvIyUpKiwtLBshMTQwKzQoKywrAQcHBwoJChQLCxQrHBgcHCsrKysrKysrKysrKysrKysrKysr&#10;KysrKysrKysrKysrKysrKysrKysrKysrKysrKyv/xAGiAAABBQEBAQEBAQAAAAAAAAAAAQIDBAUG&#10;BwgJCgsQAAIBAwMCBAMFBQQEAAABfQECAwAEEQUSITFBBhNRYQcicRQygZGhCCNCscEVUtHwJDNi&#10;coIJChYXGBkaJSYnKCkqNDU2Nzg5OkNERUZHSElKU1RVVldYWVpjZGVmZ2hpanN0dXZ3eHl6g4SF&#10;hoeIiYqSk5SVlpeYmZqio6Slpqeoqaqys7S1tre4ubrCw8TFxsfIycrS09TV1tfY2drh4uPk5ebn&#10;6Onq8fLz9PX29/j5+gEAAwEBAQEBAQEBAQAAAAAAAAECAwQFBgcICQoLEQACAQIEBAMEBwUEBAAB&#10;AncAAQIDEQQFITEGEkFRB2FxEyIygQgUQpGhscEJIzNS8BVictEKFiQ04SXxFxgZGiYnKCkqNTY3&#10;ODk6Q0RFRkdISUpTVFVWV1hZWmNkZWZnaGlqc3R1dnd4eXqCg4SFhoeIiYqSk5SVlpeYmZqio6Sl&#10;pqeoqaqys7S1tre4ubrCw8TFxsfIycrS09TV1tfY2dri4+Tl5ufo6ery8/T19vf4+fr/2gAMAwEA&#10;AhEDEQA/APqmgAoAKACgAoAKACgAoAKACgAoAyvEPiLSfDtqJ9Zv4bSM/dDn5m+ijk/hTSb2InUj&#10;BXkzj5PiPeX2f+Eb8J6xqMf8M0iCBD9C3UVXL3Zj9Yb+CLZC3jjxfbEPe+A7wwjr5E6u35DNHKu4&#10;vbVFvA3vC/j3SNeuBZsZtO1THNnep5Uh/wB3P3vw59qTi0aQrxm7bM62pNgoAKACgDk/Gnie4026&#10;tNG0K3W88QX3+pib7kKDrJJjoo/WqSvqzGpUcWox3Y/QfBljZTjUNVP9ra44/e310NxB9EU8Io7A&#10;UOQ4UktXqzqak1CgDmPHDeGZIbSw8Um2BvX8u28zh9wxyrDlSMjkEdaqN+hlV9nop9TN8MXup6D4&#10;iHhnW5ZLu1ljaTS7+Q/PIi4zE57uoI57ih2auiYOUJckvkdzUm4UANmkWGF5XOERSxPsKAZ5n8Hm&#10;bXdQ8Q+LLsbp725MFuSOY4U6KPQf4Vc9LI5cP7zlUfVnp1QdQUAFAHivjS5muvjtoVk8YvLaBY9s&#10;DLvWMtks2Ox4U/gK1XwnDVbddI6v41rJb+EY9WtGKX2l3UdxA4GSDnBH0IODUw3sbYnSHMt0ztNI&#10;vU1HSrO9j4S4hSUD03AHH61D0N4u6TLdAzN8TGRfDmqGEZk+yybRjvtNNbkz+F+hxH7Pt1DP8ObW&#10;GNw00E0izL3Vi2efwIqqm5hhGnTPSag6QoAqaxcy2ek3t1BH5s0MLyIn94hSQKEKTsmz50+GHiA3&#10;/wAUrPUdauPMvrtpFaRgAAxTagA7d1x9K2kvd0PNoTvVTluem/H++W18ASQF9r3U6IB3IHzH+VRT&#10;Wp1YuVqdjrfAkL2/gvQopMb1soQcf7gqZbmtJWgvQ3KRoJIiyRsjjKMCCPUUAeB+AtRHw7+Imp6D&#10;rLeRYXj4ilbhF5zG2ewIOD74zWslzK6PPpS9jUcZbM99BBAIOQayPQCgDjvix4kg8OeDr13cfarq&#10;NoLdB1ZiME/gDn8qqCuzHEVFCDPHr74dT6D4AsfEcoke/hcXNzGrFGijIG3HupwT9T6VpzXdjidB&#10;xpqfUNR1S++Kni/Q9LMTx2kMSmYEjjgGSQ44Geg+ooSUVcHJ15qJ9HwxrDCkcahURQqgdAB2rE9M&#10;fQAUAcf8SPA9p4z0xUdlg1CEHyLjbnH+y3qpqoysY1qKqLzPK9I8a+KfhrKmleKLB7nTIjsjkY/d&#10;HYJJ0Yex5FaOKlqjkjWqUfdmtDuLb41eFJYlaR7yJyOVMOf1BqPZs3WLpnm3jHx9perfEDT9ZWGe&#10;70yxiHkwSYTdLycnPQZx+VWotKxzVK8ZVFLoh9zqPjL4sXi21rEYNHD5YJlYFx3Zv4z7fpRaMQcq&#10;td2Wx1vwiiuvDvjPVPD+rJarLFCqQzCMK84BJBBxyMHP4VM9Vc2w6cJuDPZazO0KACgAoAZLFHMm&#10;2aNJFznDDIoCxiXfg7w3dySSXGh6c7ycsxt1yfxxT5mZulB7opW3w/8ADlprSanZ2C28wUq0Sf6p&#10;x7ocj8sU+Z2sJUIKXMkdTFGkSBIkVEHRVGAKk1Od8T+GG1jU9P1G0vmsL6zDKJUiDl0b+E8jAyM8&#10;VSdjKdPmaadmja02G6t7RY767F3OCcyiIR5GeBgVJpFNLVlqgYUAFABQAUAFABQAUAFABQB//9lQ&#10;SwMEFAAGAAgAAAAhAIGfsTbfAAAACgEAAA8AAABkcnMvZG93bnJldi54bWxMj01Lw0AQhu+C/2EZ&#10;wVu7ScRWYzalFPVUBFtBvE2TaRKanQ3ZbZL+e8eTPc47D+9HtppsqwbqfePYQDyPQBEXrmy4MvC1&#10;f5s9gfIBucTWMRm4kIdVfnuTYVq6kT9p2IVKiQn7FA3UIXSp1r6oyaKfu45YfkfXWwxy9pUuexzF&#10;3LY6iaKFttiwJNTY0aam4rQ7WwPvI47rh/h12J6Om8vP/vHjexuTMfd30/oFVKAp/MPwV1+qQy6d&#10;Du7MpVetgVmcyJZgIFkmoAR4jhYiHIRciqLzTF9PyH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Ffx1OVKAwAA5gcAAA4AAAAAAAAAAAAAAAAAPAIAAGRycy9lMm9E&#10;b2MueG1sUEsBAi0ACgAAAAAAAAAhANrJt6o9BwAAPQcAABUAAAAAAAAAAAAAAAAAsgUAAGRycy9t&#10;ZWRpYS9pbWFnZTEuanBlZ1BLAQItABQABgAIAAAAIQCBn7E23wAAAAoBAAAPAAAAAAAAAAAAAAAA&#10;ACINAABkcnMvZG93bnJldi54bWxQSwECLQAUAAYACAAAACEAWGCzG7oAAAAiAQAAGQAAAAAAAAAA&#10;AAAAAAAuDgAAZHJzL19yZWxzL2Uyb0RvYy54bWwucmVsc1BLBQYAAAAABgAGAH0BAAAfDwAAAAA=&#10;">
                <v:rect id="Rectangle 31" o:spid="_x0000_s1027" style="position:absolute;left:1418;top:1238;width:9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LZwAAAANoAAAAPAAAAZHJzL2Rvd25yZXYueG1sRE/LagIx&#10;FN0X/IdwBXc1Y1scGY0iLQVdFHyB28vkOhOc3EyT6Ix/3ywKLg/nvVj1thF38sE4VjAZZyCIS6cN&#10;VwpOx+/XGYgQkTU2jknBgwKsloOXBRbadbyn+yFWIoVwKFBBHWNbSBnKmiyGsWuJE3dx3mJM0FdS&#10;e+xSuG3kW5ZNpUXDqaHGlj5rKq+Hm1Vw+yhtPjFuev4y/c9v/t5ttd8pNRr26zmISH18iv/dG60g&#10;bU1X0g2Qyz8AAAD//wMAUEsBAi0AFAAGAAgAAAAhANvh9svuAAAAhQEAABMAAAAAAAAAAAAAAAAA&#10;AAAAAFtDb250ZW50X1R5cGVzXS54bWxQSwECLQAUAAYACAAAACEAWvQsW78AAAAVAQAACwAAAAAA&#10;AAAAAAAAAAAfAQAAX3JlbHMvLnJlbHNQSwECLQAUAAYACAAAACEAGgFi2cAAAADaAAAADwAAAAAA&#10;AAAAAAAAAAAHAgAAZHJzL2Rvd25yZXYueG1sUEsFBgAAAAADAAMAtwAAAPQCAAAAAA==&#10;" fillcolor="#ddd" stroked="f" strokecolor="maroon" strokeweight="1pt">
                  <v:stroke dashstyle="dashD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alt="edhec logo press release 3" style="position:absolute;left:1595;top:1571;width:1009;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0mOvgAAANoAAAAPAAAAZHJzL2Rvd25yZXYueG1sRE/LisIw&#10;FN0P+A/hCrMbU2fhaDWKFIQBEcYHri/NtQk2N6WJtfP3RhBcHs57sepdLTpqg/WsYDzKQBCXXluu&#10;FJyOm68piBCRNdaeScE/BVgtBx8LzLW/8566Q6xECuGQowITY5NLGUpDDsPIN8SJu/jWYUywraRu&#10;8Z7CXS2/s2wiHVpODQYbKgyV18PNpRk/O1sV+1vxZ7dmdz5Ou96uL0p9Dvv1HESkPr7FL/evVjCD&#10;55XkB7l8AAAA//8DAFBLAQItABQABgAIAAAAIQDb4fbL7gAAAIUBAAATAAAAAAAAAAAAAAAAAAAA&#10;AABbQ29udGVudF9UeXBlc10ueG1sUEsBAi0AFAAGAAgAAAAhAFr0LFu/AAAAFQEAAAsAAAAAAAAA&#10;AAAAAAAAHwEAAF9yZWxzLy5yZWxzUEsBAi0AFAAGAAgAAAAhANtTSY6+AAAA2gAAAA8AAAAAAAAA&#10;AAAAAAAABwIAAGRycy9kb3ducmV2LnhtbFBLBQYAAAAAAwADALcAAADyAgAAAAA=&#10;">
                  <v:imagedata r:id="rId21" o:title="edhec logo press release 3"/>
                </v:shape>
              </v:group>
            </w:pict>
          </mc:Fallback>
        </mc:AlternateContent>
      </w:r>
    </w:p>
    <w:p w14:paraId="2B1938C8" w14:textId="77777777" w:rsidR="000C54E5" w:rsidRPr="00F147F4" w:rsidRDefault="000C54E5" w:rsidP="000C54E5">
      <w:pPr>
        <w:tabs>
          <w:tab w:val="left" w:pos="3240"/>
        </w:tabs>
        <w:spacing w:line="280" w:lineRule="atLeast"/>
        <w:ind w:left="1622"/>
        <w:jc w:val="both"/>
        <w:rPr>
          <w:b/>
          <w:bCs/>
          <w:color w:val="800000"/>
          <w:szCs w:val="22"/>
        </w:rPr>
      </w:pPr>
      <w:r w:rsidRPr="00F147F4">
        <w:rPr>
          <w:b/>
          <w:bCs/>
          <w:color w:val="800000"/>
          <w:szCs w:val="22"/>
        </w:rPr>
        <w:t>Contact:</w:t>
      </w:r>
    </w:p>
    <w:p w14:paraId="01A423A5" w14:textId="77777777" w:rsidR="000C54E5" w:rsidRPr="00F147F4" w:rsidRDefault="000C54E5" w:rsidP="000C54E5">
      <w:pPr>
        <w:tabs>
          <w:tab w:val="left" w:pos="3240"/>
        </w:tabs>
        <w:spacing w:line="280" w:lineRule="atLeast"/>
        <w:ind w:left="1620"/>
        <w:jc w:val="both"/>
        <w:rPr>
          <w:b/>
          <w:bCs/>
          <w:szCs w:val="22"/>
        </w:rPr>
      </w:pPr>
      <w:r w:rsidRPr="00F147F4">
        <w:rPr>
          <w:szCs w:val="22"/>
        </w:rPr>
        <w:t xml:space="preserve">For more information, please contact: </w:t>
      </w:r>
      <w:r w:rsidRPr="00F147F4">
        <w:rPr>
          <w:b/>
          <w:bCs/>
          <w:szCs w:val="22"/>
        </w:rPr>
        <w:t>Maud Gauchon</w:t>
      </w:r>
    </w:p>
    <w:p w14:paraId="10F817A5" w14:textId="77777777" w:rsidR="000C54E5" w:rsidRPr="002C2403" w:rsidRDefault="000C54E5" w:rsidP="000C54E5">
      <w:pPr>
        <w:tabs>
          <w:tab w:val="left" w:pos="3240"/>
        </w:tabs>
        <w:spacing w:line="280" w:lineRule="atLeast"/>
        <w:ind w:left="1620"/>
        <w:jc w:val="both"/>
        <w:rPr>
          <w:szCs w:val="22"/>
          <w:lang w:val="pt-BR"/>
        </w:rPr>
      </w:pPr>
      <w:r w:rsidRPr="002C2403">
        <w:rPr>
          <w:szCs w:val="22"/>
          <w:lang w:val="pt-BR"/>
        </w:rPr>
        <w:t xml:space="preserve">Tel.: </w:t>
      </w:r>
      <w:r w:rsidRPr="002C2403">
        <w:rPr>
          <w:b/>
          <w:bCs/>
          <w:szCs w:val="22"/>
          <w:lang w:val="pt-BR"/>
        </w:rPr>
        <w:t>+33 493 187 887</w:t>
      </w:r>
      <w:r w:rsidRPr="002C2403">
        <w:rPr>
          <w:szCs w:val="22"/>
          <w:lang w:val="pt-BR"/>
        </w:rPr>
        <w:t xml:space="preserve"> – E-mail: </w:t>
      </w:r>
      <w:hyperlink r:id="rId22" w:history="1">
        <w:r w:rsidRPr="002C2403">
          <w:rPr>
            <w:rStyle w:val="Lienhypertexte"/>
            <w:rFonts w:eastAsia="SimSun"/>
            <w:szCs w:val="22"/>
            <w:lang w:val="pt-BR"/>
          </w:rPr>
          <w:t>maud.gauchon@edhec-risk.com</w:t>
        </w:r>
      </w:hyperlink>
    </w:p>
    <w:p w14:paraId="18AFD499" w14:textId="77777777" w:rsidR="000C54E5" w:rsidRPr="00F147F4" w:rsidRDefault="000C54E5" w:rsidP="000C54E5">
      <w:pPr>
        <w:tabs>
          <w:tab w:val="left" w:pos="3240"/>
        </w:tabs>
        <w:spacing w:line="280" w:lineRule="atLeast"/>
        <w:ind w:left="1620"/>
      </w:pPr>
      <w:r>
        <w:rPr>
          <w:szCs w:val="22"/>
        </w:rPr>
        <w:t>V</w:t>
      </w:r>
      <w:r w:rsidRPr="00F147F4">
        <w:rPr>
          <w:szCs w:val="22"/>
        </w:rPr>
        <w:t xml:space="preserve">isit our web site: </w:t>
      </w:r>
      <w:hyperlink r:id="rId23" w:history="1">
        <w:r>
          <w:rPr>
            <w:rStyle w:val="Lienhypertexte"/>
            <w:rFonts w:eastAsia="SimSun"/>
            <w:szCs w:val="22"/>
          </w:rPr>
          <w:t>https://risk.edhec.edu</w:t>
        </w:r>
      </w:hyperlink>
    </w:p>
    <w:p w14:paraId="2C7BA908" w14:textId="77777777" w:rsidR="000C54E5" w:rsidRDefault="000C54E5" w:rsidP="000C54E5">
      <w:pPr>
        <w:spacing w:line="360" w:lineRule="auto"/>
        <w:jc w:val="both"/>
        <w:rPr>
          <w:b/>
          <w:bCs/>
          <w:sz w:val="28"/>
          <w:szCs w:val="28"/>
        </w:rPr>
      </w:pPr>
    </w:p>
    <w:p w14:paraId="23495D7C" w14:textId="77777777" w:rsidR="003461AE" w:rsidRPr="008573A0" w:rsidRDefault="003461AE" w:rsidP="003461AE">
      <w:pPr>
        <w:tabs>
          <w:tab w:val="left" w:pos="3240"/>
        </w:tabs>
        <w:spacing w:line="280" w:lineRule="atLeast"/>
      </w:pPr>
    </w:p>
    <w:p w14:paraId="509422D5" w14:textId="77777777" w:rsidR="000029A4" w:rsidRDefault="000029A4" w:rsidP="00280127">
      <w:pPr>
        <w:spacing w:line="280" w:lineRule="atLeast"/>
        <w:jc w:val="both"/>
        <w:rPr>
          <w:rFonts w:cs="Arial"/>
          <w:szCs w:val="22"/>
        </w:rPr>
      </w:pPr>
    </w:p>
    <w:p w14:paraId="5E09157A" w14:textId="77777777" w:rsidR="000029A4" w:rsidRPr="008573A0" w:rsidRDefault="000029A4" w:rsidP="00280127">
      <w:pPr>
        <w:spacing w:line="280" w:lineRule="atLeast"/>
        <w:jc w:val="both"/>
        <w:rPr>
          <w:rFonts w:cs="Arial"/>
          <w:szCs w:val="22"/>
        </w:rPr>
      </w:pPr>
    </w:p>
    <w:p w14:paraId="4AFEFF89" w14:textId="77777777" w:rsidR="00B41979" w:rsidRPr="004726DC" w:rsidRDefault="00B41979" w:rsidP="00B41979">
      <w:pPr>
        <w:spacing w:line="360" w:lineRule="auto"/>
        <w:jc w:val="both"/>
        <w:rPr>
          <w:b/>
          <w:bCs/>
          <w:sz w:val="28"/>
          <w:szCs w:val="28"/>
        </w:rPr>
      </w:pPr>
      <w:r w:rsidRPr="004726DC">
        <w:rPr>
          <w:b/>
          <w:bCs/>
          <w:sz w:val="28"/>
          <w:szCs w:val="28"/>
        </w:rPr>
        <w:t>About EDHEC-Risk Institute</w:t>
      </w:r>
    </w:p>
    <w:p w14:paraId="339E067C" w14:textId="77777777" w:rsidR="00B41979" w:rsidRPr="004726DC" w:rsidRDefault="00B41979" w:rsidP="00B41979">
      <w:pPr>
        <w:spacing w:line="360" w:lineRule="auto"/>
        <w:jc w:val="both"/>
        <w:rPr>
          <w:b/>
          <w:bCs/>
          <w:szCs w:val="22"/>
        </w:rPr>
      </w:pPr>
      <w:r w:rsidRPr="004726DC">
        <w:rPr>
          <w:b/>
          <w:bCs/>
          <w:szCs w:val="22"/>
        </w:rPr>
        <w:t>Academic Roots &amp; Practitioner Reach</w:t>
      </w:r>
    </w:p>
    <w:p w14:paraId="506B831C" w14:textId="77777777" w:rsidR="00B41979" w:rsidRPr="004726DC" w:rsidRDefault="00B41979" w:rsidP="00B41979">
      <w:pPr>
        <w:spacing w:line="280" w:lineRule="atLeast"/>
        <w:jc w:val="both"/>
        <w:rPr>
          <w:szCs w:val="22"/>
        </w:rPr>
      </w:pPr>
    </w:p>
    <w:p w14:paraId="4791AEA0" w14:textId="77777777" w:rsidR="00B41979" w:rsidRPr="00A4707D" w:rsidRDefault="00B41979" w:rsidP="00B41979">
      <w:pPr>
        <w:jc w:val="both"/>
        <w:rPr>
          <w:szCs w:val="22"/>
        </w:rPr>
      </w:pPr>
      <w:r w:rsidRPr="00A4707D">
        <w:rPr>
          <w:szCs w:val="22"/>
        </w:rPr>
        <w:t xml:space="preserve">Since 2001, EDHEC Business School has been pursuing an ambitious policy to produce academic research that is both practical and relevant. This policy, known as “Research for Business” and now labelled “Make an Impact”, aims to make EDHEC an academic institution of reference in a small number of areas in which the school has reached critical mass in terms of expertise and research results. </w:t>
      </w:r>
    </w:p>
    <w:p w14:paraId="3AE507B8" w14:textId="77777777" w:rsidR="00B41979" w:rsidRPr="00A4707D" w:rsidRDefault="00B41979" w:rsidP="00B41979">
      <w:pPr>
        <w:jc w:val="both"/>
        <w:rPr>
          <w:szCs w:val="22"/>
        </w:rPr>
      </w:pPr>
      <w:r w:rsidRPr="00A4707D">
        <w:rPr>
          <w:szCs w:val="22"/>
        </w:rPr>
        <w:t xml:space="preserve">In 2001, EDHEC Business School created EDHEC-Risk Institute, a premier academic centre for industry-relevant research in investment management, which has developed a portfolio of research and educational initiatives in the domain of investment solutions for institutional and individual investors. </w:t>
      </w:r>
    </w:p>
    <w:p w14:paraId="7F65DE47" w14:textId="77777777" w:rsidR="00B41979" w:rsidRPr="00A4707D" w:rsidRDefault="00B41979" w:rsidP="00B41979">
      <w:pPr>
        <w:jc w:val="both"/>
        <w:rPr>
          <w:szCs w:val="22"/>
        </w:rPr>
      </w:pPr>
    </w:p>
    <w:p w14:paraId="020D5217" w14:textId="77777777" w:rsidR="00B41979" w:rsidRPr="00E06A42" w:rsidRDefault="00B41979" w:rsidP="00B41979">
      <w:pPr>
        <w:jc w:val="both"/>
        <w:rPr>
          <w:snapToGrid w:val="0"/>
          <w:szCs w:val="22"/>
        </w:rPr>
      </w:pPr>
      <w:r w:rsidRPr="00A4707D">
        <w:rPr>
          <w:szCs w:val="22"/>
        </w:rPr>
        <w:t>The institute</w:t>
      </w:r>
      <w:r>
        <w:rPr>
          <w:rFonts w:ascii="Opensans Regular" w:hAnsi="Opensans Regular"/>
          <w:color w:val="1C1C1C"/>
          <w:sz w:val="23"/>
          <w:szCs w:val="23"/>
        </w:rPr>
        <w:t>, in partnership with industry leaders, boasts a team of permanent professors, engineers and support staff, as well as affiliate professors and research associates. They have gained very significant expertise in the areas of </w:t>
      </w:r>
      <w:r w:rsidRPr="007C55C3">
        <w:rPr>
          <w:rStyle w:val="lev"/>
          <w:rFonts w:ascii="Opensans Bold" w:eastAsiaTheme="minorHAnsi" w:hAnsi="Opensans Bold"/>
          <w:color w:val="1C1C1C"/>
          <w:sz w:val="23"/>
          <w:szCs w:val="23"/>
        </w:rPr>
        <w:t>retirement investing</w:t>
      </w:r>
      <w:r>
        <w:rPr>
          <w:rStyle w:val="lev"/>
          <w:rFonts w:ascii="Opensans Bold" w:eastAsiaTheme="minorHAnsi" w:hAnsi="Opensans Bold"/>
          <w:color w:val="1C1C1C"/>
          <w:sz w:val="23"/>
          <w:szCs w:val="23"/>
        </w:rPr>
        <w:t xml:space="preserve"> </w:t>
      </w:r>
      <w:r w:rsidRPr="00D95B61">
        <w:rPr>
          <w:rStyle w:val="lev"/>
          <w:rFonts w:ascii="Opensans Bold" w:eastAsiaTheme="minorHAnsi" w:hAnsi="Opensans Bold"/>
          <w:color w:val="1C1C1C"/>
          <w:sz w:val="23"/>
          <w:szCs w:val="23"/>
        </w:rPr>
        <w:t>and</w:t>
      </w:r>
      <w:r>
        <w:rPr>
          <w:rStyle w:val="lev"/>
          <w:rFonts w:ascii="Opensans Bold" w:eastAsiaTheme="minorHAnsi" w:hAnsi="Opensans Bold"/>
          <w:color w:val="1C1C1C"/>
          <w:sz w:val="23"/>
          <w:szCs w:val="23"/>
        </w:rPr>
        <w:t xml:space="preserve"> </w:t>
      </w:r>
      <w:r w:rsidRPr="007C55C3">
        <w:rPr>
          <w:rStyle w:val="lev"/>
          <w:rFonts w:ascii="Opensans Bold" w:eastAsiaTheme="minorHAnsi" w:hAnsi="Opensans Bold"/>
          <w:color w:val="1C1C1C"/>
          <w:sz w:val="23"/>
          <w:szCs w:val="23"/>
        </w:rPr>
        <w:t>sustainable investing</w:t>
      </w:r>
      <w:r>
        <w:rPr>
          <w:rStyle w:val="lev"/>
          <w:rFonts w:ascii="Opensans Bold" w:eastAsiaTheme="minorHAnsi" w:hAnsi="Opensans Bold"/>
          <w:color w:val="1C1C1C"/>
          <w:sz w:val="23"/>
          <w:szCs w:val="23"/>
        </w:rPr>
        <w:t>.</w:t>
      </w:r>
      <w:r w:rsidRPr="00E06A42">
        <w:rPr>
          <w:szCs w:val="22"/>
        </w:rPr>
        <w:t xml:space="preserve"> </w:t>
      </w:r>
      <w:r>
        <w:rPr>
          <w:szCs w:val="22"/>
        </w:rPr>
        <w:t>Its</w:t>
      </w:r>
      <w:r>
        <w:rPr>
          <w:snapToGrid w:val="0"/>
          <w:szCs w:val="22"/>
        </w:rPr>
        <w:t xml:space="preserve"> </w:t>
      </w:r>
      <w:r w:rsidRPr="00E06A42">
        <w:rPr>
          <w:snapToGrid w:val="0"/>
          <w:szCs w:val="22"/>
        </w:rPr>
        <w:t>philosophy is to validate its work by publi</w:t>
      </w:r>
      <w:r>
        <w:rPr>
          <w:snapToGrid w:val="0"/>
          <w:szCs w:val="22"/>
        </w:rPr>
        <w:t xml:space="preserve">shing </w:t>
      </w:r>
      <w:r w:rsidRPr="00E06A42">
        <w:rPr>
          <w:snapToGrid w:val="0"/>
          <w:szCs w:val="22"/>
        </w:rPr>
        <w:t>in international academic journals, as well as to make it available to the sector through position papers, published studies</w:t>
      </w:r>
      <w:r>
        <w:rPr>
          <w:snapToGrid w:val="0"/>
          <w:szCs w:val="22"/>
        </w:rPr>
        <w:t>, online courses, on-campus workshops</w:t>
      </w:r>
      <w:r w:rsidRPr="00E06A42">
        <w:rPr>
          <w:snapToGrid w:val="0"/>
          <w:szCs w:val="22"/>
        </w:rPr>
        <w:t xml:space="preserve"> and global conferences.</w:t>
      </w:r>
    </w:p>
    <w:p w14:paraId="5412FF6A" w14:textId="77777777" w:rsidR="00B41979" w:rsidRPr="00E06A42" w:rsidRDefault="00B41979" w:rsidP="00B41979">
      <w:pPr>
        <w:spacing w:line="280" w:lineRule="atLeast"/>
        <w:jc w:val="both"/>
        <w:rPr>
          <w:szCs w:val="22"/>
        </w:rPr>
      </w:pPr>
    </w:p>
    <w:p w14:paraId="77DD7526" w14:textId="77777777" w:rsidR="00B41979" w:rsidRPr="00E06A42" w:rsidRDefault="00B41979" w:rsidP="00B41979">
      <w:pPr>
        <w:spacing w:line="280" w:lineRule="atLeast"/>
        <w:jc w:val="both"/>
        <w:rPr>
          <w:szCs w:val="22"/>
        </w:rPr>
      </w:pPr>
      <w:r w:rsidRPr="00E06A42">
        <w:rPr>
          <w:szCs w:val="22"/>
        </w:rPr>
        <w:t xml:space="preserve">To ensure the </w:t>
      </w:r>
      <w:r>
        <w:rPr>
          <w:szCs w:val="22"/>
        </w:rPr>
        <w:t>dissemination</w:t>
      </w:r>
      <w:r w:rsidRPr="00E06A42">
        <w:rPr>
          <w:szCs w:val="22"/>
        </w:rPr>
        <w:t xml:space="preserve"> of its research to the </w:t>
      </w:r>
      <w:r>
        <w:rPr>
          <w:szCs w:val="22"/>
        </w:rPr>
        <w:t xml:space="preserve">investment </w:t>
      </w:r>
      <w:r w:rsidRPr="00E06A42">
        <w:rPr>
          <w:szCs w:val="22"/>
        </w:rPr>
        <w:t xml:space="preserve">industry, EDHEC-Risk also provides professionals with access to its website, </w:t>
      </w:r>
      <w:hyperlink r:id="rId24" w:history="1">
        <w:r w:rsidRPr="00E06A42">
          <w:rPr>
            <w:rStyle w:val="Lienhypertexte"/>
            <w:rFonts w:eastAsia="SimSun"/>
            <w:szCs w:val="22"/>
          </w:rPr>
          <w:t>https://risk.edhec.edu</w:t>
        </w:r>
      </w:hyperlink>
      <w:r w:rsidRPr="00E06A42">
        <w:rPr>
          <w:szCs w:val="22"/>
        </w:rPr>
        <w:t xml:space="preserve">, </w:t>
      </w:r>
      <w:r>
        <w:rPr>
          <w:szCs w:val="22"/>
        </w:rPr>
        <w:t xml:space="preserve">which has more than 120,000 visitors and is </w:t>
      </w:r>
      <w:r w:rsidRPr="00E06A42">
        <w:rPr>
          <w:szCs w:val="22"/>
        </w:rPr>
        <w:t xml:space="preserve">devoted to asset and risk management research, with a focus on investment solutions. </w:t>
      </w:r>
      <w:r>
        <w:rPr>
          <w:szCs w:val="22"/>
        </w:rPr>
        <w:t>Finally</w:t>
      </w:r>
      <w:r w:rsidRPr="00E06A42">
        <w:rPr>
          <w:szCs w:val="22"/>
        </w:rPr>
        <w:t>, its quarterly newsletter is distributed to over 100,000 readers.</w:t>
      </w:r>
    </w:p>
    <w:p w14:paraId="05E43C60" w14:textId="77777777" w:rsidR="00B41979" w:rsidRPr="00E06A42" w:rsidRDefault="00B41979" w:rsidP="00B41979">
      <w:pPr>
        <w:spacing w:line="280" w:lineRule="atLeast"/>
        <w:jc w:val="both"/>
        <w:rPr>
          <w:szCs w:val="22"/>
        </w:rPr>
      </w:pPr>
    </w:p>
    <w:p w14:paraId="1FECF53C" w14:textId="77777777" w:rsidR="00B41979" w:rsidRDefault="00B41979" w:rsidP="00B41979">
      <w:pPr>
        <w:jc w:val="both"/>
        <w:rPr>
          <w:szCs w:val="22"/>
        </w:rPr>
      </w:pPr>
      <w:r w:rsidRPr="009E0DE9">
        <w:rPr>
          <w:szCs w:val="22"/>
        </w:rPr>
        <w:t>Building on the cutting-edge research of the faculty, EDHEC-Risk Institute creates programmes to help executives level up their financial expertise on topics of considerable interest in the asset management industry: factor investing, goal-based investing, sustainable investing, data science and machine</w:t>
      </w:r>
      <w:r>
        <w:rPr>
          <w:szCs w:val="22"/>
        </w:rPr>
        <w:t xml:space="preserve"> </w:t>
      </w:r>
      <w:r w:rsidRPr="009E0DE9">
        <w:rPr>
          <w:szCs w:val="22"/>
        </w:rPr>
        <w:t>learning.</w:t>
      </w:r>
    </w:p>
    <w:p w14:paraId="6088C7C6" w14:textId="77777777" w:rsidR="00B41979" w:rsidRPr="009E0DE9" w:rsidRDefault="00B41979" w:rsidP="00B41979">
      <w:pPr>
        <w:jc w:val="both"/>
        <w:rPr>
          <w:szCs w:val="22"/>
        </w:rPr>
      </w:pPr>
    </w:p>
    <w:p w14:paraId="7A64F3FB" w14:textId="77777777" w:rsidR="00B41979" w:rsidRPr="009E0DE9" w:rsidRDefault="00B41979" w:rsidP="00B41979">
      <w:pPr>
        <w:jc w:val="both"/>
        <w:rPr>
          <w:szCs w:val="22"/>
        </w:rPr>
      </w:pPr>
      <w:r w:rsidRPr="009E0DE9">
        <w:rPr>
          <w:szCs w:val="22"/>
        </w:rPr>
        <w:t xml:space="preserve">EDHEC-Risk’s </w:t>
      </w:r>
      <w:r>
        <w:rPr>
          <w:szCs w:val="22"/>
        </w:rPr>
        <w:t>mission</w:t>
      </w:r>
      <w:r w:rsidRPr="009E0DE9">
        <w:rPr>
          <w:szCs w:val="22"/>
        </w:rPr>
        <w:t xml:space="preserve"> is to give participants an edge in today’s fast-changing landscape, with programmes designed to guide them towards converting theoretical concepts into practical results. Courses </w:t>
      </w:r>
      <w:proofErr w:type="gramStart"/>
      <w:r w:rsidRPr="009E0DE9">
        <w:rPr>
          <w:szCs w:val="22"/>
        </w:rPr>
        <w:t>are run</w:t>
      </w:r>
      <w:proofErr w:type="gramEnd"/>
      <w:r w:rsidRPr="009E0DE9">
        <w:rPr>
          <w:szCs w:val="22"/>
        </w:rPr>
        <w:t xml:space="preserve"> in different format</w:t>
      </w:r>
      <w:r>
        <w:rPr>
          <w:szCs w:val="22"/>
        </w:rPr>
        <w:t>s</w:t>
      </w:r>
      <w:r w:rsidRPr="009E0DE9">
        <w:rPr>
          <w:szCs w:val="22"/>
        </w:rPr>
        <w:t xml:space="preserve"> to match </w:t>
      </w:r>
      <w:r>
        <w:rPr>
          <w:szCs w:val="22"/>
        </w:rPr>
        <w:t xml:space="preserve">the </w:t>
      </w:r>
      <w:r w:rsidRPr="009E0DE9">
        <w:rPr>
          <w:szCs w:val="22"/>
        </w:rPr>
        <w:t>market</w:t>
      </w:r>
      <w:r>
        <w:rPr>
          <w:szCs w:val="22"/>
        </w:rPr>
        <w:t>’s</w:t>
      </w:r>
      <w:r w:rsidRPr="009E0DE9">
        <w:rPr>
          <w:szCs w:val="22"/>
        </w:rPr>
        <w:t xml:space="preserve"> needs: 100% on line, on</w:t>
      </w:r>
      <w:r>
        <w:rPr>
          <w:szCs w:val="22"/>
        </w:rPr>
        <w:t>-</w:t>
      </w:r>
      <w:r w:rsidRPr="009E0DE9">
        <w:rPr>
          <w:szCs w:val="22"/>
        </w:rPr>
        <w:t xml:space="preserve">site, blended or bespoke programmes. To date, 2,500 professionals have chosen EDHEC-Risk Institute to </w:t>
      </w:r>
      <w:r>
        <w:rPr>
          <w:szCs w:val="22"/>
        </w:rPr>
        <w:t xml:space="preserve">help them </w:t>
      </w:r>
      <w:r w:rsidRPr="009E0DE9">
        <w:rPr>
          <w:szCs w:val="22"/>
        </w:rPr>
        <w:t xml:space="preserve">address their challenges. </w:t>
      </w:r>
    </w:p>
    <w:p w14:paraId="0DF0EA75" w14:textId="77777777" w:rsidR="00B41979" w:rsidRPr="00E06A42" w:rsidRDefault="00B41979" w:rsidP="00B41979">
      <w:pPr>
        <w:spacing w:line="280" w:lineRule="atLeast"/>
        <w:jc w:val="both"/>
        <w:rPr>
          <w:szCs w:val="22"/>
        </w:rPr>
      </w:pPr>
    </w:p>
    <w:p w14:paraId="6E5F5129" w14:textId="77777777" w:rsidR="00B41979" w:rsidRDefault="00B41979" w:rsidP="00B41979">
      <w:pPr>
        <w:jc w:val="both"/>
        <w:rPr>
          <w:rFonts w:ascii="Helvetica" w:hAnsi="Helvetica"/>
          <w:szCs w:val="22"/>
          <w:shd w:val="clear" w:color="auto" w:fill="FFFFFF"/>
        </w:rPr>
      </w:pPr>
      <w:r w:rsidRPr="00E06A42">
        <w:rPr>
          <w:szCs w:val="22"/>
        </w:rPr>
        <w:t xml:space="preserve">As part of its policy of transferring know-how to the </w:t>
      </w:r>
      <w:r>
        <w:rPr>
          <w:szCs w:val="22"/>
        </w:rPr>
        <w:t xml:space="preserve">investment </w:t>
      </w:r>
      <w:r w:rsidRPr="00E06A42">
        <w:rPr>
          <w:szCs w:val="22"/>
        </w:rPr>
        <w:t>industry</w:t>
      </w:r>
      <w:r>
        <w:rPr>
          <w:szCs w:val="22"/>
        </w:rPr>
        <w:t xml:space="preserve">, </w:t>
      </w:r>
      <w:r w:rsidRPr="00E06A42">
        <w:rPr>
          <w:szCs w:val="22"/>
        </w:rPr>
        <w:t xml:space="preserve">EDHEC-Risk Institute set up Scientific Beta, an original initiative </w:t>
      </w:r>
      <w:r>
        <w:rPr>
          <w:szCs w:val="22"/>
        </w:rPr>
        <w:t xml:space="preserve">to boost the take-up </w:t>
      </w:r>
      <w:r w:rsidRPr="00E06A42">
        <w:rPr>
          <w:szCs w:val="22"/>
        </w:rPr>
        <w:t xml:space="preserve">of the latest advances in smart beta design and implementation by the whole investment industry. </w:t>
      </w:r>
      <w:r>
        <w:rPr>
          <w:szCs w:val="22"/>
        </w:rPr>
        <w:t xml:space="preserve">On 31 January 2020, Singapore Exchange (SGX) acquired a majority stake in Scientific Beta, a transaction </w:t>
      </w:r>
      <w:r w:rsidRPr="00F96A3D">
        <w:rPr>
          <w:szCs w:val="22"/>
        </w:rPr>
        <w:t xml:space="preserve">that </w:t>
      </w:r>
      <w:r w:rsidRPr="005647D9">
        <w:rPr>
          <w:szCs w:val="22"/>
          <w:shd w:val="clear" w:color="auto" w:fill="FFFFFF"/>
        </w:rPr>
        <w:t>vindicates the school</w:t>
      </w:r>
      <w:r>
        <w:rPr>
          <w:szCs w:val="22"/>
          <w:shd w:val="clear" w:color="auto" w:fill="FFFFFF"/>
        </w:rPr>
        <w:t>’s</w:t>
      </w:r>
      <w:r w:rsidRPr="005647D9">
        <w:rPr>
          <w:szCs w:val="22"/>
          <w:shd w:val="clear" w:color="auto" w:fill="FFFFFF"/>
        </w:rPr>
        <w:t xml:space="preserve"> “Make an Impact” model and </w:t>
      </w:r>
      <w:r>
        <w:rPr>
          <w:szCs w:val="22"/>
          <w:shd w:val="clear" w:color="auto" w:fill="FFFFFF"/>
        </w:rPr>
        <w:t xml:space="preserve">its </w:t>
      </w:r>
      <w:r w:rsidRPr="005647D9">
        <w:rPr>
          <w:szCs w:val="22"/>
          <w:shd w:val="clear" w:color="auto" w:fill="FFFFFF"/>
        </w:rPr>
        <w:t>focus on producing</w:t>
      </w:r>
      <w:r>
        <w:rPr>
          <w:bCs/>
          <w:szCs w:val="22"/>
        </w:rPr>
        <w:t xml:space="preserve"> </w:t>
      </w:r>
      <w:r w:rsidRPr="005647D9">
        <w:rPr>
          <w:bCs/>
          <w:szCs w:val="22"/>
        </w:rPr>
        <w:t>research</w:t>
      </w:r>
      <w:r>
        <w:rPr>
          <w:bCs/>
          <w:szCs w:val="22"/>
        </w:rPr>
        <w:t xml:space="preserve"> that is useful</w:t>
      </w:r>
      <w:r w:rsidRPr="005647D9">
        <w:rPr>
          <w:bCs/>
          <w:szCs w:val="22"/>
        </w:rPr>
        <w:t> </w:t>
      </w:r>
      <w:r w:rsidRPr="005647D9">
        <w:rPr>
          <w:szCs w:val="22"/>
          <w:shd w:val="clear" w:color="auto" w:fill="FFFFFF"/>
        </w:rPr>
        <w:t xml:space="preserve">for </w:t>
      </w:r>
      <w:r w:rsidRPr="00D14F5F">
        <w:rPr>
          <w:szCs w:val="22"/>
          <w:shd w:val="clear" w:color="auto" w:fill="FFFFFF"/>
        </w:rPr>
        <w:t xml:space="preserve">both </w:t>
      </w:r>
      <w:r w:rsidRPr="005647D9">
        <w:rPr>
          <w:szCs w:val="22"/>
          <w:shd w:val="clear" w:color="auto" w:fill="FFFFFF"/>
        </w:rPr>
        <w:t>students and businesses.</w:t>
      </w:r>
      <w:r w:rsidRPr="005647D9">
        <w:rPr>
          <w:rFonts w:ascii="Helvetica" w:hAnsi="Helvetica"/>
          <w:szCs w:val="22"/>
          <w:shd w:val="clear" w:color="auto" w:fill="FFFFFF"/>
        </w:rPr>
        <w:t xml:space="preserve"> </w:t>
      </w:r>
    </w:p>
    <w:p w14:paraId="59B976BF" w14:textId="77777777" w:rsidR="00B41979" w:rsidRPr="00E06A42" w:rsidRDefault="00B41979" w:rsidP="00B41979">
      <w:pPr>
        <w:jc w:val="both"/>
        <w:rPr>
          <w:szCs w:val="22"/>
        </w:rPr>
      </w:pPr>
      <w:r w:rsidRPr="00F96A3D">
        <w:rPr>
          <w:szCs w:val="22"/>
        </w:rPr>
        <w:t>ED</w:t>
      </w:r>
      <w:r w:rsidRPr="00E06A42">
        <w:rPr>
          <w:szCs w:val="22"/>
        </w:rPr>
        <w:t xml:space="preserve">HEC-Risk Institute also contributed to </w:t>
      </w:r>
      <w:r>
        <w:rPr>
          <w:szCs w:val="22"/>
        </w:rPr>
        <w:t xml:space="preserve">the </w:t>
      </w:r>
      <w:r w:rsidRPr="00E06A42">
        <w:rPr>
          <w:szCs w:val="22"/>
        </w:rPr>
        <w:t>launch of EDHEC Infrastructure Institute (</w:t>
      </w:r>
      <w:proofErr w:type="spellStart"/>
      <w:r w:rsidRPr="00E06A42">
        <w:rPr>
          <w:szCs w:val="22"/>
        </w:rPr>
        <w:t>EDHEC</w:t>
      </w:r>
      <w:r w:rsidRPr="00E06A42">
        <w:rPr>
          <w:i/>
          <w:szCs w:val="22"/>
        </w:rPr>
        <w:t>infra</w:t>
      </w:r>
      <w:proofErr w:type="spellEnd"/>
      <w:r w:rsidRPr="00E06A42">
        <w:rPr>
          <w:szCs w:val="22"/>
        </w:rPr>
        <w:t xml:space="preserve">), a spin-off dedicated to benchmarking private infrastructure investments. </w:t>
      </w:r>
      <w:proofErr w:type="spellStart"/>
      <w:r w:rsidRPr="00E06A42">
        <w:rPr>
          <w:szCs w:val="22"/>
        </w:rPr>
        <w:t>EDHEC</w:t>
      </w:r>
      <w:r w:rsidRPr="00E06A42">
        <w:rPr>
          <w:i/>
          <w:szCs w:val="22"/>
        </w:rPr>
        <w:t>infra</w:t>
      </w:r>
      <w:proofErr w:type="spellEnd"/>
      <w:r w:rsidRPr="00E06A42">
        <w:rPr>
          <w:szCs w:val="22"/>
        </w:rPr>
        <w:t xml:space="preserve"> </w:t>
      </w:r>
      <w:r>
        <w:rPr>
          <w:szCs w:val="22"/>
        </w:rPr>
        <w:t>is now a provider of research and indices on unlisted infrastructure investments</w:t>
      </w:r>
      <w:r w:rsidRPr="00E06A42">
        <w:rPr>
          <w:szCs w:val="22"/>
        </w:rPr>
        <w:t>.</w:t>
      </w:r>
    </w:p>
    <w:p w14:paraId="3B0D6A1C" w14:textId="77777777" w:rsidR="00B41979" w:rsidRPr="004726DC" w:rsidRDefault="00B41979" w:rsidP="00B41979">
      <w:pPr>
        <w:jc w:val="both"/>
        <w:rPr>
          <w:szCs w:val="22"/>
        </w:rPr>
      </w:pPr>
    </w:p>
    <w:p w14:paraId="0CAC7D28" w14:textId="77777777" w:rsidR="00B41979" w:rsidRPr="004726DC" w:rsidRDefault="00B41979" w:rsidP="00B41979">
      <w:pPr>
        <w:jc w:val="both"/>
        <w:rPr>
          <w:szCs w:val="22"/>
        </w:rPr>
      </w:pPr>
    </w:p>
    <w:p w14:paraId="504A17DC" w14:textId="77777777" w:rsidR="00B41979" w:rsidRPr="004726DC" w:rsidRDefault="00B41979" w:rsidP="00B41979">
      <w:pPr>
        <w:spacing w:line="280" w:lineRule="atLeast"/>
        <w:jc w:val="center"/>
        <w:rPr>
          <w:szCs w:val="22"/>
        </w:rPr>
      </w:pPr>
      <w:r w:rsidRPr="004726DC">
        <w:rPr>
          <w:szCs w:val="22"/>
        </w:rPr>
        <w:t>@EDHECRisk</w:t>
      </w:r>
    </w:p>
    <w:p w14:paraId="458232D4" w14:textId="77777777" w:rsidR="00B41979" w:rsidRPr="004726DC" w:rsidRDefault="00B41979" w:rsidP="00B41979">
      <w:pPr>
        <w:spacing w:line="280" w:lineRule="atLeast"/>
        <w:jc w:val="center"/>
        <w:rPr>
          <w:szCs w:val="22"/>
        </w:rPr>
      </w:pPr>
      <w:r w:rsidRPr="004726DC">
        <w:rPr>
          <w:szCs w:val="22"/>
        </w:rPr>
        <w:t>#MakeFinanceUsefulAgain</w:t>
      </w:r>
    </w:p>
    <w:p w14:paraId="2EE4DC0A" w14:textId="77777777" w:rsidR="00B41979" w:rsidRPr="004726DC" w:rsidRDefault="00B41979" w:rsidP="00B41979">
      <w:pPr>
        <w:spacing w:line="280" w:lineRule="atLeast"/>
        <w:jc w:val="both"/>
        <w:rPr>
          <w:szCs w:val="22"/>
        </w:rPr>
      </w:pPr>
    </w:p>
    <w:p w14:paraId="1CDA2A20" w14:textId="77777777" w:rsidR="00B41979" w:rsidRPr="004726DC" w:rsidRDefault="00B41979" w:rsidP="00B41979">
      <w:pPr>
        <w:jc w:val="both"/>
        <w:rPr>
          <w:color w:val="000000" w:themeColor="text1"/>
          <w:szCs w:val="22"/>
        </w:rPr>
      </w:pPr>
    </w:p>
    <w:p w14:paraId="788ED3D4" w14:textId="77777777" w:rsidR="00B41979" w:rsidRPr="004726DC" w:rsidRDefault="00B41979" w:rsidP="00B41979">
      <w:pPr>
        <w:autoSpaceDE w:val="0"/>
        <w:autoSpaceDN w:val="0"/>
        <w:adjustRightInd w:val="0"/>
        <w:rPr>
          <w:b/>
          <w:bCs/>
          <w:sz w:val="16"/>
          <w:szCs w:val="16"/>
          <w:lang w:eastAsia="zh-CN"/>
        </w:rPr>
      </w:pPr>
      <w:r w:rsidRPr="004726DC">
        <w:rPr>
          <w:b/>
          <w:bCs/>
          <w:sz w:val="16"/>
          <w:szCs w:val="16"/>
          <w:lang w:eastAsia="zh-CN"/>
        </w:rPr>
        <w:t xml:space="preserve">                     </w:t>
      </w:r>
      <w:r w:rsidRPr="004726DC">
        <w:rPr>
          <w:b/>
          <w:bCs/>
          <w:sz w:val="16"/>
          <w:szCs w:val="16"/>
          <w:lang w:eastAsia="zh-CN"/>
        </w:rPr>
        <w:tab/>
        <w:t>EDHEC-Risk Institute</w:t>
      </w:r>
      <w:r w:rsidRPr="004726DC">
        <w:rPr>
          <w:b/>
          <w:bCs/>
          <w:sz w:val="16"/>
          <w:szCs w:val="16"/>
          <w:lang w:eastAsia="zh-CN"/>
        </w:rPr>
        <w:tab/>
      </w:r>
      <w:r w:rsidRPr="004726DC">
        <w:rPr>
          <w:b/>
          <w:bCs/>
          <w:sz w:val="16"/>
          <w:szCs w:val="16"/>
          <w:lang w:eastAsia="zh-CN"/>
        </w:rPr>
        <w:tab/>
      </w:r>
      <w:r w:rsidRPr="004726DC">
        <w:rPr>
          <w:b/>
          <w:bCs/>
          <w:sz w:val="16"/>
          <w:szCs w:val="16"/>
          <w:lang w:eastAsia="zh-CN"/>
        </w:rPr>
        <w:tab/>
      </w:r>
      <w:r w:rsidRPr="004726DC">
        <w:rPr>
          <w:b/>
          <w:bCs/>
          <w:sz w:val="16"/>
          <w:szCs w:val="16"/>
          <w:lang w:eastAsia="zh-CN"/>
        </w:rPr>
        <w:tab/>
      </w:r>
      <w:r w:rsidRPr="004726DC">
        <w:rPr>
          <w:b/>
          <w:bCs/>
          <w:sz w:val="16"/>
          <w:szCs w:val="16"/>
          <w:lang w:eastAsia="zh-CN"/>
        </w:rPr>
        <w:tab/>
        <w:t>EDHEC-Risk Institute – Europe</w:t>
      </w:r>
    </w:p>
    <w:p w14:paraId="1A6173CA" w14:textId="77777777" w:rsidR="00B41979" w:rsidRPr="005B793B" w:rsidRDefault="00B41979" w:rsidP="00B41979">
      <w:pPr>
        <w:autoSpaceDE w:val="0"/>
        <w:autoSpaceDN w:val="0"/>
        <w:adjustRightInd w:val="0"/>
        <w:ind w:left="708" w:firstLine="708"/>
        <w:rPr>
          <w:sz w:val="16"/>
          <w:szCs w:val="16"/>
          <w:lang w:val="fr-FR" w:eastAsia="zh-CN"/>
        </w:rPr>
      </w:pPr>
      <w:r w:rsidRPr="005B793B">
        <w:rPr>
          <w:sz w:val="16"/>
          <w:szCs w:val="16"/>
          <w:lang w:val="fr-FR" w:eastAsia="zh-CN"/>
        </w:rPr>
        <w:t>393 promenade des Anglais</w:t>
      </w:r>
      <w:r w:rsidRPr="005B793B">
        <w:rPr>
          <w:sz w:val="16"/>
          <w:szCs w:val="16"/>
          <w:lang w:val="fr-FR" w:eastAsia="zh-CN"/>
        </w:rPr>
        <w:tab/>
      </w:r>
      <w:r w:rsidRPr="005B793B">
        <w:rPr>
          <w:sz w:val="16"/>
          <w:szCs w:val="16"/>
          <w:lang w:val="fr-FR" w:eastAsia="zh-CN"/>
        </w:rPr>
        <w:tab/>
      </w:r>
      <w:r w:rsidRPr="005B793B">
        <w:rPr>
          <w:sz w:val="16"/>
          <w:szCs w:val="16"/>
          <w:lang w:val="fr-FR" w:eastAsia="zh-CN"/>
        </w:rPr>
        <w:tab/>
      </w:r>
      <w:r w:rsidRPr="005B793B">
        <w:rPr>
          <w:sz w:val="16"/>
          <w:szCs w:val="16"/>
          <w:lang w:val="fr-FR" w:eastAsia="zh-CN"/>
        </w:rPr>
        <w:tab/>
      </w:r>
      <w:r w:rsidRPr="005B793B">
        <w:rPr>
          <w:sz w:val="16"/>
          <w:szCs w:val="16"/>
          <w:lang w:val="fr-FR" w:eastAsia="zh-CN"/>
        </w:rPr>
        <w:tab/>
        <w:t xml:space="preserve">10 Fleet Place, </w:t>
      </w:r>
      <w:proofErr w:type="spellStart"/>
      <w:r w:rsidRPr="005B793B">
        <w:rPr>
          <w:sz w:val="16"/>
          <w:szCs w:val="16"/>
          <w:lang w:val="fr-FR" w:eastAsia="zh-CN"/>
        </w:rPr>
        <w:t>Ludgate</w:t>
      </w:r>
      <w:proofErr w:type="spellEnd"/>
    </w:p>
    <w:p w14:paraId="27A3C4F5" w14:textId="77777777" w:rsidR="00B41979" w:rsidRPr="004726DC" w:rsidRDefault="00B41979" w:rsidP="00B41979">
      <w:pPr>
        <w:autoSpaceDE w:val="0"/>
        <w:autoSpaceDN w:val="0"/>
        <w:adjustRightInd w:val="0"/>
        <w:ind w:left="708" w:firstLine="708"/>
        <w:rPr>
          <w:sz w:val="16"/>
          <w:szCs w:val="16"/>
          <w:lang w:eastAsia="zh-CN"/>
        </w:rPr>
      </w:pPr>
      <w:r w:rsidRPr="004726DC">
        <w:rPr>
          <w:sz w:val="16"/>
          <w:szCs w:val="16"/>
          <w:lang w:eastAsia="zh-CN"/>
        </w:rPr>
        <w:t>BP 3116 – 06202 Nice Cedex 3</w:t>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t>London EC4M 7RB</w:t>
      </w:r>
      <w:r w:rsidRPr="004726DC">
        <w:rPr>
          <w:sz w:val="16"/>
          <w:szCs w:val="16"/>
          <w:lang w:eastAsia="zh-CN"/>
        </w:rPr>
        <w:tab/>
      </w:r>
      <w:r w:rsidRPr="004726DC">
        <w:rPr>
          <w:sz w:val="16"/>
          <w:szCs w:val="16"/>
          <w:lang w:eastAsia="zh-CN"/>
        </w:rPr>
        <w:tab/>
      </w:r>
    </w:p>
    <w:p w14:paraId="50C7A3CD" w14:textId="77777777" w:rsidR="00B41979" w:rsidRPr="004726DC" w:rsidRDefault="00B41979" w:rsidP="00B41979">
      <w:pPr>
        <w:autoSpaceDE w:val="0"/>
        <w:autoSpaceDN w:val="0"/>
        <w:adjustRightInd w:val="0"/>
        <w:ind w:left="708" w:firstLine="708"/>
        <w:rPr>
          <w:sz w:val="16"/>
          <w:szCs w:val="16"/>
          <w:lang w:eastAsia="zh-CN"/>
        </w:rPr>
      </w:pPr>
      <w:r w:rsidRPr="004726DC">
        <w:rPr>
          <w:sz w:val="16"/>
          <w:szCs w:val="16"/>
          <w:lang w:eastAsia="zh-CN"/>
        </w:rPr>
        <w:t>France</w:t>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r>
      <w:r w:rsidRPr="004726DC">
        <w:rPr>
          <w:sz w:val="16"/>
          <w:szCs w:val="16"/>
          <w:lang w:eastAsia="zh-CN"/>
        </w:rPr>
        <w:tab/>
        <w:t>United Kingdom</w:t>
      </w:r>
      <w:r w:rsidRPr="004726DC">
        <w:rPr>
          <w:sz w:val="16"/>
          <w:szCs w:val="16"/>
          <w:lang w:eastAsia="zh-CN"/>
        </w:rPr>
        <w:tab/>
      </w:r>
      <w:r w:rsidRPr="004726DC">
        <w:rPr>
          <w:sz w:val="16"/>
          <w:szCs w:val="16"/>
          <w:lang w:eastAsia="zh-CN"/>
        </w:rPr>
        <w:tab/>
      </w:r>
    </w:p>
    <w:p w14:paraId="15E3BD2D" w14:textId="77777777" w:rsidR="00B41979" w:rsidRPr="004726DC" w:rsidRDefault="00B41979" w:rsidP="00B41979">
      <w:pPr>
        <w:autoSpaceDE w:val="0"/>
        <w:autoSpaceDN w:val="0"/>
        <w:adjustRightInd w:val="0"/>
        <w:ind w:left="708" w:firstLine="708"/>
        <w:rPr>
          <w:sz w:val="16"/>
          <w:szCs w:val="16"/>
          <w:lang w:val="en-US" w:eastAsia="zh-CN"/>
        </w:rPr>
      </w:pPr>
      <w:r w:rsidRPr="004726DC">
        <w:rPr>
          <w:sz w:val="16"/>
          <w:szCs w:val="16"/>
          <w:lang w:val="en-US" w:eastAsia="zh-CN"/>
        </w:rPr>
        <w:t>Tel: +33 493 187 887</w:t>
      </w:r>
      <w:r w:rsidRPr="004726DC">
        <w:rPr>
          <w:sz w:val="16"/>
          <w:szCs w:val="16"/>
          <w:lang w:val="en-US" w:eastAsia="zh-CN"/>
        </w:rPr>
        <w:tab/>
      </w:r>
      <w:r w:rsidRPr="004726DC">
        <w:rPr>
          <w:sz w:val="16"/>
          <w:szCs w:val="16"/>
          <w:lang w:val="en-US" w:eastAsia="zh-CN"/>
        </w:rPr>
        <w:tab/>
      </w:r>
      <w:r w:rsidRPr="004726DC">
        <w:rPr>
          <w:sz w:val="16"/>
          <w:szCs w:val="16"/>
          <w:lang w:val="en-US" w:eastAsia="zh-CN"/>
        </w:rPr>
        <w:tab/>
      </w:r>
      <w:r w:rsidRPr="004726DC">
        <w:rPr>
          <w:sz w:val="16"/>
          <w:szCs w:val="16"/>
          <w:lang w:val="en-US" w:eastAsia="zh-CN"/>
        </w:rPr>
        <w:tab/>
      </w:r>
      <w:r w:rsidRPr="004726DC">
        <w:rPr>
          <w:sz w:val="16"/>
          <w:szCs w:val="16"/>
          <w:lang w:val="en-US" w:eastAsia="zh-CN"/>
        </w:rPr>
        <w:tab/>
      </w:r>
      <w:r w:rsidRPr="004726DC">
        <w:rPr>
          <w:sz w:val="16"/>
          <w:szCs w:val="16"/>
          <w:lang w:val="en-US" w:eastAsia="zh-CN"/>
        </w:rPr>
        <w:tab/>
        <w:t>Tel: + 44 207 332 5600</w:t>
      </w:r>
      <w:r w:rsidRPr="004726DC">
        <w:rPr>
          <w:sz w:val="16"/>
          <w:szCs w:val="16"/>
          <w:lang w:val="en-US" w:eastAsia="zh-CN"/>
        </w:rPr>
        <w:tab/>
      </w:r>
    </w:p>
    <w:p w14:paraId="5CDD28AF" w14:textId="77777777" w:rsidR="00B41979" w:rsidRDefault="00B41979" w:rsidP="00B41979"/>
    <w:p w14:paraId="7FDCCF11" w14:textId="77777777" w:rsidR="00C10359" w:rsidRDefault="00C10359" w:rsidP="00BD15F3">
      <w:pPr>
        <w:spacing w:line="360" w:lineRule="auto"/>
        <w:jc w:val="both"/>
        <w:rPr>
          <w:b/>
          <w:bCs/>
          <w:sz w:val="28"/>
          <w:szCs w:val="28"/>
        </w:rPr>
      </w:pPr>
    </w:p>
    <w:p w14:paraId="07F82B59" w14:textId="77777777" w:rsidR="00B41979" w:rsidRPr="00930434" w:rsidRDefault="00B41979" w:rsidP="00B41979">
      <w:pPr>
        <w:rPr>
          <w:b/>
          <w:bCs/>
          <w:color w:val="000000"/>
          <w:sz w:val="28"/>
          <w:szCs w:val="28"/>
          <w:lang w:eastAsia="en-GB"/>
        </w:rPr>
      </w:pPr>
      <w:r w:rsidRPr="00930434">
        <w:rPr>
          <w:b/>
          <w:bCs/>
          <w:color w:val="000000"/>
          <w:sz w:val="28"/>
          <w:szCs w:val="28"/>
          <w:lang w:eastAsia="en-GB"/>
        </w:rPr>
        <w:t>About Swiss Life Asset Managers</w:t>
      </w:r>
    </w:p>
    <w:p w14:paraId="56A3B53F" w14:textId="77777777" w:rsidR="00B41979" w:rsidRPr="00930434" w:rsidRDefault="00B41979" w:rsidP="00B41979">
      <w:pPr>
        <w:rPr>
          <w:i/>
          <w:szCs w:val="22"/>
          <w:lang w:eastAsia="zh-CN"/>
        </w:rPr>
      </w:pPr>
    </w:p>
    <w:p w14:paraId="4582C073" w14:textId="48D7CDFF" w:rsidR="00526B08" w:rsidRPr="00526B08" w:rsidRDefault="00526B08" w:rsidP="00526B08">
      <w:pPr>
        <w:rPr>
          <w:rFonts w:eastAsia="MS Mincho"/>
          <w:snapToGrid w:val="0"/>
        </w:rPr>
      </w:pPr>
      <w:r w:rsidRPr="00526B08">
        <w:rPr>
          <w:rFonts w:eastAsia="MS Mincho"/>
          <w:snapToGrid w:val="0"/>
        </w:rPr>
        <w:t xml:space="preserve">Swiss Life Asset Managers has more than 160 years of experience in managing the assets of the Swiss Life Group. This insurance background has exerted a key influence on the investment philosophy of Swiss Life Asset Managers, which is governed by such principles as value preservation, the generation of consistent and sustainable performance and a responsible approach to risks. That’s how we lay the groundwork for our clients to make solid, long-term plans – in self-determination and with financial confidence. Swiss Life Asset Managers offers this proven approach to third-party clients in </w:t>
      </w:r>
      <w:r w:rsidR="00EB0135">
        <w:rPr>
          <w:rFonts w:eastAsia="MS Mincho"/>
          <w:snapToGrid w:val="0"/>
        </w:rPr>
        <w:t>Europe as well as in selected non-European countries.</w:t>
      </w:r>
    </w:p>
    <w:p w14:paraId="441DDB50" w14:textId="77777777" w:rsidR="00526B08" w:rsidRPr="00526B08" w:rsidRDefault="00526B08" w:rsidP="00526B08">
      <w:pPr>
        <w:rPr>
          <w:rFonts w:eastAsia="MS Mincho"/>
          <w:snapToGrid w:val="0"/>
        </w:rPr>
      </w:pPr>
    </w:p>
    <w:p w14:paraId="4873563E" w14:textId="77777777" w:rsidR="00526B08" w:rsidRPr="00526B08" w:rsidRDefault="00526B08" w:rsidP="00526B08">
      <w:pPr>
        <w:rPr>
          <w:rFonts w:eastAsia="MS Mincho"/>
          <w:snapToGrid w:val="0"/>
        </w:rPr>
      </w:pPr>
      <w:r w:rsidRPr="00526B08">
        <w:rPr>
          <w:rFonts w:eastAsia="MS Mincho"/>
          <w:snapToGrid w:val="0"/>
        </w:rPr>
        <w:t xml:space="preserve">As at 31 December 2020 assets under management for third-party clients amount to EUR 84.7 billion. Together with insurance assets for the Swiss Life Group, total assets under management at Swiss Life Asset Managers stood at EUR 249.2 billion. Swiss Life Asset Managers is a leading real estate manager in Europe1. Of the assets </w:t>
      </w:r>
      <w:proofErr w:type="spellStart"/>
      <w:r w:rsidRPr="00526B08">
        <w:rPr>
          <w:rFonts w:eastAsia="MS Mincho"/>
          <w:snapToGrid w:val="0"/>
        </w:rPr>
        <w:t>totaling</w:t>
      </w:r>
      <w:proofErr w:type="spellEnd"/>
      <w:r w:rsidRPr="00526B08">
        <w:rPr>
          <w:rFonts w:eastAsia="MS Mincho"/>
          <w:snapToGrid w:val="0"/>
        </w:rPr>
        <w:t xml:space="preserve"> EUR 249.2 billion, EUR 71.8 billion is invested in real estate. In addition, Swiss Life Asset Managers has real estate under administration of EUR 25.6 billion through its subsidiaries </w:t>
      </w:r>
      <w:proofErr w:type="spellStart"/>
      <w:r w:rsidRPr="00526B08">
        <w:rPr>
          <w:rFonts w:eastAsia="MS Mincho"/>
          <w:snapToGrid w:val="0"/>
        </w:rPr>
        <w:t>Livit</w:t>
      </w:r>
      <w:proofErr w:type="spellEnd"/>
      <w:r w:rsidRPr="00526B08">
        <w:rPr>
          <w:rFonts w:eastAsia="MS Mincho"/>
          <w:snapToGrid w:val="0"/>
        </w:rPr>
        <w:t xml:space="preserve"> and Corpus </w:t>
      </w:r>
      <w:proofErr w:type="spellStart"/>
      <w:r w:rsidRPr="00526B08">
        <w:rPr>
          <w:rFonts w:eastAsia="MS Mincho"/>
          <w:snapToGrid w:val="0"/>
        </w:rPr>
        <w:t>Sireo</w:t>
      </w:r>
      <w:proofErr w:type="spellEnd"/>
      <w:r w:rsidRPr="00526B08">
        <w:rPr>
          <w:rFonts w:eastAsia="MS Mincho"/>
          <w:snapToGrid w:val="0"/>
        </w:rPr>
        <w:t>. Total real estate under management and administration at the end of December 2020 thus came to EUR 97.5 billion.</w:t>
      </w:r>
    </w:p>
    <w:p w14:paraId="0BC05B9F" w14:textId="77777777" w:rsidR="00526B08" w:rsidRPr="00526B08" w:rsidRDefault="00526B08" w:rsidP="00526B08">
      <w:pPr>
        <w:rPr>
          <w:rFonts w:eastAsia="MS Mincho"/>
          <w:snapToGrid w:val="0"/>
        </w:rPr>
      </w:pPr>
    </w:p>
    <w:p w14:paraId="6D87A718" w14:textId="77777777" w:rsidR="00526B08" w:rsidRPr="00526B08" w:rsidRDefault="00526B08" w:rsidP="00526B08">
      <w:pPr>
        <w:rPr>
          <w:rFonts w:eastAsia="MS Mincho"/>
          <w:snapToGrid w:val="0"/>
        </w:rPr>
      </w:pPr>
      <w:r w:rsidRPr="00526B08">
        <w:rPr>
          <w:rFonts w:eastAsia="MS Mincho"/>
          <w:snapToGrid w:val="0"/>
        </w:rPr>
        <w:t>Swiss Life Asset Managers employs about 2300 people in Europe.</w:t>
      </w:r>
    </w:p>
    <w:p w14:paraId="082236BD" w14:textId="77777777" w:rsidR="00526B08" w:rsidRPr="00526B08" w:rsidRDefault="00526B08" w:rsidP="00526B08">
      <w:pPr>
        <w:rPr>
          <w:rFonts w:eastAsia="MS Mincho"/>
          <w:snapToGrid w:val="0"/>
        </w:rPr>
      </w:pPr>
    </w:p>
    <w:p w14:paraId="6151C7D0" w14:textId="0986EB78" w:rsidR="00526B08" w:rsidRPr="00455285" w:rsidRDefault="00526B08" w:rsidP="0031387D">
      <w:pPr>
        <w:rPr>
          <w:rFonts w:eastAsia="MS Mincho"/>
        </w:rPr>
      </w:pPr>
      <w:r w:rsidRPr="00455285">
        <w:rPr>
          <w:rFonts w:ascii="CG Times (PCL6)" w:eastAsia="MS Mincho" w:hAnsi="CG Times (PCL6)"/>
          <w:snapToGrid w:val="0"/>
          <w:sz w:val="16"/>
          <w:szCs w:val="18"/>
        </w:rPr>
        <w:t xml:space="preserve">1 INREV Fund Manager Survey </w:t>
      </w:r>
      <w:r w:rsidR="004275CF" w:rsidRPr="00455285">
        <w:rPr>
          <w:rFonts w:ascii="CG Times (PCL6)" w:eastAsia="MS Mincho" w:hAnsi="CG Times (PCL6)"/>
          <w:snapToGrid w:val="0"/>
          <w:sz w:val="16"/>
          <w:szCs w:val="18"/>
        </w:rPr>
        <w:t>2021</w:t>
      </w:r>
      <w:r w:rsidRPr="00455285">
        <w:rPr>
          <w:rFonts w:ascii="CG Times (PCL6)" w:eastAsia="MS Mincho" w:hAnsi="CG Times (PCL6)"/>
          <w:snapToGrid w:val="0"/>
          <w:sz w:val="16"/>
          <w:szCs w:val="18"/>
        </w:rPr>
        <w:t>(</w:t>
      </w:r>
      <w:proofErr w:type="spellStart"/>
      <w:r w:rsidRPr="00455285">
        <w:rPr>
          <w:rFonts w:ascii="CG Times (PCL6)" w:eastAsia="MS Mincho" w:hAnsi="CG Times (PCL6)"/>
          <w:snapToGrid w:val="0"/>
          <w:sz w:val="16"/>
          <w:szCs w:val="18"/>
        </w:rPr>
        <w:t>AuM</w:t>
      </w:r>
      <w:proofErr w:type="spellEnd"/>
      <w:r w:rsidRPr="00455285">
        <w:rPr>
          <w:rFonts w:ascii="CG Times (PCL6)" w:eastAsia="MS Mincho" w:hAnsi="CG Times (PCL6)"/>
          <w:snapToGrid w:val="0"/>
          <w:sz w:val="16"/>
          <w:szCs w:val="18"/>
        </w:rPr>
        <w:t xml:space="preserve"> as of 31.12.</w:t>
      </w:r>
      <w:r w:rsidR="004275CF" w:rsidRPr="00455285">
        <w:rPr>
          <w:rFonts w:ascii="CG Times (PCL6)" w:eastAsia="MS Mincho" w:hAnsi="CG Times (PCL6)"/>
          <w:snapToGrid w:val="0"/>
          <w:sz w:val="16"/>
          <w:szCs w:val="18"/>
        </w:rPr>
        <w:t>2020</w:t>
      </w:r>
      <w:r w:rsidRPr="00455285">
        <w:rPr>
          <w:rFonts w:ascii="CG Times (PCL6)" w:eastAsia="MS Mincho" w:hAnsi="CG Times (PCL6)"/>
          <w:snapToGrid w:val="0"/>
          <w:sz w:val="16"/>
          <w:szCs w:val="18"/>
        </w:rPr>
        <w:t>)</w:t>
      </w:r>
      <w:r w:rsidRPr="00455285" w:rsidDel="00526B08">
        <w:rPr>
          <w:rFonts w:ascii="CG Times (PCL6)" w:eastAsia="MS Mincho" w:hAnsi="CG Times (PCL6)"/>
          <w:snapToGrid w:val="0"/>
          <w:sz w:val="16"/>
          <w:szCs w:val="18"/>
        </w:rPr>
        <w:t xml:space="preserve"> </w:t>
      </w:r>
    </w:p>
    <w:p w14:paraId="15D9F5B5" w14:textId="65B3DE45" w:rsidR="00526B08" w:rsidRDefault="00526B08" w:rsidP="00526B08">
      <w:pPr>
        <w:pStyle w:val="Titre1"/>
        <w:jc w:val="both"/>
        <w:rPr>
          <w:rFonts w:ascii="Times New Roman" w:eastAsia="MS Mincho" w:hAnsi="Times New Roman"/>
          <w:b w:val="0"/>
          <w:bCs w:val="0"/>
          <w:snapToGrid w:val="0"/>
          <w:sz w:val="16"/>
          <w:szCs w:val="18"/>
        </w:rPr>
      </w:pPr>
    </w:p>
    <w:p w14:paraId="0EB507B7" w14:textId="636E57C4" w:rsidR="00526B08" w:rsidRPr="0031387D" w:rsidRDefault="00526B08" w:rsidP="00526B08">
      <w:pPr>
        <w:rPr>
          <w:b/>
          <w:bCs/>
          <w:color w:val="000000"/>
          <w:szCs w:val="22"/>
          <w:lang w:eastAsia="en-GB"/>
        </w:rPr>
      </w:pPr>
      <w:r w:rsidRPr="0031387D">
        <w:rPr>
          <w:b/>
          <w:bCs/>
          <w:color w:val="000000"/>
          <w:szCs w:val="22"/>
          <w:lang w:eastAsia="en-GB"/>
        </w:rPr>
        <w:t>Media relations</w:t>
      </w:r>
      <w:r w:rsidR="009158FA" w:rsidRPr="0031387D">
        <w:rPr>
          <w:b/>
          <w:bCs/>
          <w:color w:val="000000"/>
          <w:szCs w:val="22"/>
          <w:lang w:eastAsia="en-GB"/>
        </w:rPr>
        <w:t xml:space="preserve"> Swiss Life Asset Managers France</w:t>
      </w:r>
    </w:p>
    <w:p w14:paraId="52319A7D" w14:textId="6628D12E" w:rsidR="009158FA" w:rsidRPr="0031387D" w:rsidRDefault="009158FA" w:rsidP="00526B08">
      <w:pPr>
        <w:rPr>
          <w:rFonts w:eastAsia="MS Mincho"/>
          <w:szCs w:val="22"/>
          <w:lang w:val="en-US"/>
        </w:rPr>
      </w:pPr>
      <w:r w:rsidRPr="0031387D">
        <w:rPr>
          <w:rFonts w:eastAsia="MS Mincho"/>
          <w:szCs w:val="22"/>
          <w:lang w:val="en-US"/>
        </w:rPr>
        <w:t>Marie CARADEC, Head Communications</w:t>
      </w:r>
    </w:p>
    <w:p w14:paraId="638032B1" w14:textId="54C1C33F" w:rsidR="009158FA" w:rsidRPr="0031387D" w:rsidRDefault="009158FA" w:rsidP="009158FA">
      <w:pPr>
        <w:rPr>
          <w:rFonts w:eastAsia="MS Mincho"/>
          <w:szCs w:val="22"/>
          <w:lang w:val="en-US"/>
        </w:rPr>
      </w:pPr>
      <w:r w:rsidRPr="0031387D">
        <w:rPr>
          <w:szCs w:val="22"/>
          <w:lang w:val="en-US"/>
        </w:rPr>
        <w:t xml:space="preserve">+33 </w:t>
      </w:r>
      <w:r>
        <w:rPr>
          <w:szCs w:val="22"/>
          <w:lang w:val="en-US"/>
        </w:rPr>
        <w:t>(0)</w:t>
      </w:r>
      <w:r w:rsidRPr="0031387D">
        <w:rPr>
          <w:szCs w:val="22"/>
          <w:lang w:val="en-US"/>
        </w:rPr>
        <w:t xml:space="preserve">1 40 15 22 04 – </w:t>
      </w:r>
      <w:hyperlink r:id="rId25" w:history="1">
        <w:r w:rsidRPr="0031387D">
          <w:rPr>
            <w:rStyle w:val="Lienhypertexte"/>
            <w:rFonts w:eastAsia="MS Mincho"/>
            <w:szCs w:val="22"/>
            <w:lang w:val="en-US"/>
          </w:rPr>
          <w:t>marie.caradec@swisslife-am.com</w:t>
        </w:r>
      </w:hyperlink>
      <w:r w:rsidRPr="0031387D">
        <w:rPr>
          <w:rFonts w:eastAsia="MS Mincho"/>
          <w:szCs w:val="22"/>
          <w:lang w:val="en-US"/>
        </w:rPr>
        <w:t xml:space="preserve"> </w:t>
      </w:r>
    </w:p>
    <w:p w14:paraId="4BE46AB4" w14:textId="48259CB9" w:rsidR="009158FA" w:rsidRPr="0031387D" w:rsidRDefault="009158FA" w:rsidP="00526B08">
      <w:pPr>
        <w:rPr>
          <w:szCs w:val="22"/>
          <w:lang w:val="en-US"/>
        </w:rPr>
      </w:pPr>
    </w:p>
    <w:p w14:paraId="51F5B7E1" w14:textId="3649E509" w:rsidR="00526B08" w:rsidRPr="0031387D" w:rsidRDefault="00526B08" w:rsidP="00526B08">
      <w:pPr>
        <w:rPr>
          <w:rFonts w:eastAsia="MS Mincho"/>
          <w:szCs w:val="22"/>
          <w:lang w:val="en-US"/>
        </w:rPr>
      </w:pPr>
      <w:r w:rsidRPr="0031387D">
        <w:rPr>
          <w:rFonts w:eastAsia="MS Mincho"/>
          <w:szCs w:val="22"/>
          <w:lang w:val="en-US"/>
        </w:rPr>
        <w:t xml:space="preserve">FARGO </w:t>
      </w:r>
      <w:r w:rsidR="009158FA" w:rsidRPr="0031387D">
        <w:rPr>
          <w:rFonts w:eastAsia="MS Mincho"/>
          <w:szCs w:val="22"/>
          <w:lang w:val="en-US"/>
        </w:rPr>
        <w:t>agency</w:t>
      </w:r>
    </w:p>
    <w:p w14:paraId="5A9C245E" w14:textId="5498F344" w:rsidR="00526B08" w:rsidRPr="0031387D" w:rsidRDefault="00526B08" w:rsidP="00526B08">
      <w:pPr>
        <w:rPr>
          <w:rFonts w:eastAsia="MS Mincho"/>
          <w:szCs w:val="22"/>
          <w:lang w:val="en-US"/>
        </w:rPr>
      </w:pPr>
      <w:r w:rsidRPr="0031387D">
        <w:rPr>
          <w:rFonts w:eastAsia="MS Mincho"/>
          <w:szCs w:val="22"/>
          <w:lang w:val="en-US"/>
        </w:rPr>
        <w:t xml:space="preserve">Yohann HENDRICE - + 33 (0)6 16 83 28 89 – </w:t>
      </w:r>
      <w:hyperlink r:id="rId26" w:history="1">
        <w:r w:rsidR="009158FA" w:rsidRPr="0031387D">
          <w:rPr>
            <w:rStyle w:val="Lienhypertexte"/>
            <w:rFonts w:eastAsia="MS Mincho"/>
            <w:szCs w:val="22"/>
            <w:lang w:val="en-US"/>
          </w:rPr>
          <w:t>yhendrice@fargo.agency</w:t>
        </w:r>
      </w:hyperlink>
      <w:r w:rsidR="009158FA" w:rsidRPr="0031387D">
        <w:rPr>
          <w:rFonts w:eastAsia="MS Mincho"/>
          <w:szCs w:val="22"/>
          <w:lang w:val="en-US"/>
        </w:rPr>
        <w:t xml:space="preserve"> </w:t>
      </w:r>
    </w:p>
    <w:p w14:paraId="4062DBC7" w14:textId="2873BBAF" w:rsidR="00526B08" w:rsidRPr="0031387D" w:rsidRDefault="00526B08" w:rsidP="0031387D">
      <w:pPr>
        <w:rPr>
          <w:rFonts w:eastAsia="MS Mincho"/>
          <w:szCs w:val="22"/>
          <w:lang w:val="en-US"/>
        </w:rPr>
      </w:pPr>
      <w:r w:rsidRPr="0031387D">
        <w:rPr>
          <w:rFonts w:eastAsia="MS Mincho"/>
          <w:szCs w:val="22"/>
          <w:lang w:val="en-US"/>
        </w:rPr>
        <w:t xml:space="preserve">Héloïse LACHOUQUE - +33 (0)6 16 83 04 94 – </w:t>
      </w:r>
      <w:hyperlink r:id="rId27" w:history="1">
        <w:r w:rsidR="009158FA" w:rsidRPr="0031387D">
          <w:rPr>
            <w:rStyle w:val="Lienhypertexte"/>
            <w:rFonts w:eastAsia="MS Mincho"/>
            <w:szCs w:val="22"/>
            <w:lang w:val="en-US"/>
          </w:rPr>
          <w:t>hlachouque@fargo.agency</w:t>
        </w:r>
      </w:hyperlink>
      <w:r w:rsidR="009158FA" w:rsidRPr="0031387D">
        <w:rPr>
          <w:rFonts w:eastAsia="MS Mincho"/>
          <w:szCs w:val="22"/>
          <w:lang w:val="en-US"/>
        </w:rPr>
        <w:t xml:space="preserve"> </w:t>
      </w:r>
    </w:p>
    <w:p w14:paraId="1E536E06" w14:textId="77777777" w:rsidR="00CA7954" w:rsidRPr="0031387D" w:rsidRDefault="00CA7954" w:rsidP="0031387D">
      <w:pPr>
        <w:keepNext/>
        <w:spacing w:line="300" w:lineRule="atLeast"/>
        <w:jc w:val="both"/>
        <w:outlineLvl w:val="0"/>
        <w:rPr>
          <w:rFonts w:eastAsia="MS Mincho"/>
          <w:szCs w:val="22"/>
        </w:rPr>
      </w:pPr>
    </w:p>
    <w:sectPr w:rsidR="00CA7954" w:rsidRPr="0031387D" w:rsidSect="00F24750">
      <w:headerReference w:type="even" r:id="rId28"/>
      <w:headerReference w:type="default" r:id="rId29"/>
      <w:footerReference w:type="even" r:id="rId30"/>
      <w:footerReference w:type="default" r:id="rId31"/>
      <w:headerReference w:type="first" r:id="rId32"/>
      <w:footerReference w:type="first" r:id="rId33"/>
      <w:pgSz w:w="11906" w:h="16838"/>
      <w:pgMar w:top="993" w:right="1418" w:bottom="709"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464D" w14:textId="77777777" w:rsidR="00760D97" w:rsidRDefault="00760D97">
      <w:r>
        <w:separator/>
      </w:r>
    </w:p>
  </w:endnote>
  <w:endnote w:type="continuationSeparator" w:id="0">
    <w:p w14:paraId="1EFF69E8" w14:textId="77777777" w:rsidR="00760D97" w:rsidRDefault="0076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PCL6)">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tisSemiSan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egacy Serif ITC Pro Book">
    <w:altName w:val="Calibri"/>
    <w:panose1 w:val="00000000000000000000"/>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Opensans Regular">
    <w:altName w:val="Times New Roman"/>
    <w:panose1 w:val="00000000000000000000"/>
    <w:charset w:val="00"/>
    <w:family w:val="roman"/>
    <w:notTrueType/>
    <w:pitch w:val="default"/>
  </w:font>
  <w:font w:name="Opensans 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B7B46" w14:textId="77777777" w:rsidR="00AA3159" w:rsidRDefault="00AA31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182B" w14:textId="006D426D" w:rsidR="001E277D" w:rsidRDefault="001E277D">
    <w:pPr>
      <w:pStyle w:val="Pieddepage"/>
    </w:pPr>
    <w:r>
      <w:rPr>
        <w:noProof/>
        <w:lang w:val="fr-FR"/>
      </w:rPr>
      <mc:AlternateContent>
        <mc:Choice Requires="wps">
          <w:drawing>
            <wp:anchor distT="0" distB="0" distL="114300" distR="114300" simplePos="0" relativeHeight="251659264" behindDoc="0" locked="0" layoutInCell="0" allowOverlap="1" wp14:anchorId="7A9A0EFC" wp14:editId="7E3E06B2">
              <wp:simplePos x="0" y="0"/>
              <wp:positionH relativeFrom="page">
                <wp:posOffset>0</wp:posOffset>
              </wp:positionH>
              <wp:positionV relativeFrom="page">
                <wp:posOffset>10228580</wp:posOffset>
              </wp:positionV>
              <wp:extent cx="7560310" cy="273050"/>
              <wp:effectExtent l="0" t="0" r="0" b="12700"/>
              <wp:wrapNone/>
              <wp:docPr id="2" name="MSIPCM6f2c481e9e14e0637a6ac16f" descr="{&quot;HashCode&quot;:9599872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56E03" w14:textId="18302359" w:rsidR="001E277D" w:rsidRPr="009158FA" w:rsidRDefault="001E277D" w:rsidP="009158F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A9A0EFC" id="_x0000_t202" coordsize="21600,21600" o:spt="202" path="m,l,21600r21600,l21600,xe">
              <v:stroke joinstyle="miter"/>
              <v:path gradientshapeok="t" o:connecttype="rect"/>
            </v:shapetype>
            <v:shape id="MSIPCM6f2c481e9e14e0637a6ac16f" o:spid="_x0000_s1026" type="#_x0000_t202" alt="{&quot;HashCode&quot;:95998729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7yrQIAAEUFAAAOAAAAZHJzL2Uyb0RvYy54bWysVMlu2zAQvRfoPxA89NRGkhd5aeTAdeDW&#10;gJMYcIqcaYqyBEgchqRjuUX/vUOJcpb2VPRCDmeGszy+4eVVXZXkSWhTgExodBFSIiSHtJD7hH6/&#10;X34aU2IskykrQYqEnoShV7P37y6Paip6kEOZCk0wiDTTo0pobq2aBoHhuaiYuQAlJBoz0BWzeNT7&#10;INXsiNGrMuiFYRwcQadKAxfGoPa6NdJZEz/LBLd3WWaEJWVCsTbbrLpZd24NZpdsutdM5QX3ZbB/&#10;qKJihcSk51DXzDJy0MUfoaqCazCQ2QsOVQBZVnDR9IDdROGbbrY5U6LpBcEx6gyT+X9h+e3TRpMi&#10;TWiPEskqfKKb7WqzuImzHh+MIzER0UCEcX/EYsajOKMkFYYjgj8/PB7Afv7GTL6AVLSn6WQ4mYxH&#10;vUn80ZtFsc+tN44HSBBveChSm3v9cDI86zcl46ISsrvTuiwBrNCt7AOsZCpqH6DdNrqomD698toi&#10;A5Ca3i/yd+9BeU14TrwWWZcTlb8cM47KTBGgrUKIbP0FamR4pzeodA9eZ7pyOz4lQTty7HTmlagt&#10;4agcDeOwH6GJo6036ofDhnjB822ljf0qoCJOSKjGqhs6sae1sVgJunYuLpmEZVGWDXdLSY4JjfsY&#10;8pUFb5QSL7oe2lqdZOtd7RvbQXrCvjS0M2EUXxaYfM2M3TCNQ4D14mDbO1yyEjAJeImSHPSPv+md&#10;P3ITrZQccagSah4PTAtKypVE1k6iwcBNYXNAQb/U7jqtPFQLwHmN8OtQvBGdry07MdNQPeDcz102&#10;NDHJMWdCd524sHhCA/4bXMznjYzzpphdy63iLrQDy0F6Xz8wrTzuFl/sFrqxY9M38Le+Lczzg4Ws&#10;aN7GAdui6fHGWW2ezP8r7jN4eW68nn+/2W8AAAD//wMAUEsDBBQABgAIAAAAIQDEIMuE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QEix9vowREsWiP&#10;DxuQeSb/M+QXAAAA//8DAFBLAQItABQABgAIAAAAIQC2gziS/gAAAOEBAAATAAAAAAAAAAAAAAAA&#10;AAAAAABbQ29udGVudF9UeXBlc10ueG1sUEsBAi0AFAAGAAgAAAAhADj9If/WAAAAlAEAAAsAAAAA&#10;AAAAAAAAAAAALwEAAF9yZWxzLy5yZWxzUEsBAi0AFAAGAAgAAAAhANkXPvKtAgAARQUAAA4AAAAA&#10;AAAAAAAAAAAALgIAAGRycy9lMm9Eb2MueG1sUEsBAi0AFAAGAAgAAAAhAMQgy4TfAAAACwEAAA8A&#10;AAAAAAAAAAAAAAAABwUAAGRycy9kb3ducmV2LnhtbFBLBQYAAAAABAAEAPMAAAATBgAAAAA=&#10;" o:allowincell="f" filled="f" stroked="f" strokeweight=".5pt">
              <v:textbox inset=",0,,0">
                <w:txbxContent>
                  <w:p w14:paraId="45B56E03" w14:textId="18302359" w:rsidR="001E277D" w:rsidRPr="009158FA" w:rsidRDefault="001E277D" w:rsidP="009158FA">
                    <w:pPr>
                      <w:jc w:val="center"/>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4631" w14:textId="77777777" w:rsidR="00AA3159" w:rsidRDefault="00AA31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8667F" w14:textId="77777777" w:rsidR="00760D97" w:rsidRDefault="00760D97">
      <w:r>
        <w:separator/>
      </w:r>
    </w:p>
  </w:footnote>
  <w:footnote w:type="continuationSeparator" w:id="0">
    <w:p w14:paraId="0C15F71E" w14:textId="77777777" w:rsidR="00760D97" w:rsidRDefault="00760D97">
      <w:r>
        <w:continuationSeparator/>
      </w:r>
    </w:p>
  </w:footnote>
  <w:footnote w:id="1">
    <w:p w14:paraId="11D88DB4" w14:textId="12F019B6" w:rsidR="004306A9" w:rsidRPr="00794EEE" w:rsidRDefault="004306A9" w:rsidP="004306A9">
      <w:pPr>
        <w:pStyle w:val="Notedebasdepage"/>
        <w:rPr>
          <w:lang w:val="fr-FR"/>
        </w:rPr>
      </w:pPr>
      <w:r>
        <w:rPr>
          <w:rStyle w:val="Appelnotedebasdep"/>
        </w:rPr>
        <w:footnoteRef/>
      </w:r>
      <w:r>
        <w:t xml:space="preserve"> </w:t>
      </w:r>
      <w:r w:rsidR="00BC0DB4" w:rsidRPr="00BC0DB4">
        <w:t xml:space="preserve">Schoeffler, P. (2020). </w:t>
      </w:r>
      <w:r>
        <w:t xml:space="preserve">Liquidity of real estate funds available to the </w:t>
      </w:r>
      <w:proofErr w:type="gramStart"/>
      <w:r>
        <w:t>general public</w:t>
      </w:r>
      <w:proofErr w:type="gramEnd"/>
      <w:r>
        <w:t xml:space="preserve"> in France. </w:t>
      </w:r>
      <w:r w:rsidRPr="00794EEE">
        <w:rPr>
          <w:lang w:val="fr-FR"/>
        </w:rPr>
        <w:t>Association française des Sociétés</w:t>
      </w:r>
      <w:r w:rsidR="00BC0DB4" w:rsidRPr="00794EEE">
        <w:rPr>
          <w:lang w:val="fr-FR"/>
        </w:rPr>
        <w:t xml:space="preserve"> </w:t>
      </w:r>
      <w:r w:rsidRPr="00794EEE">
        <w:rPr>
          <w:lang w:val="fr-FR"/>
        </w:rPr>
        <w:t>de Placement Immobilier (ASPIM).</w:t>
      </w:r>
    </w:p>
  </w:footnote>
  <w:footnote w:id="2">
    <w:p w14:paraId="45D0BD4A" w14:textId="711B35A1" w:rsidR="00DF0D6E" w:rsidRPr="00DA6BBF" w:rsidRDefault="00DF0D6E">
      <w:pPr>
        <w:pStyle w:val="Notedebasdepage"/>
        <w:rPr>
          <w:lang w:val="en-US"/>
        </w:rPr>
      </w:pPr>
      <w:r>
        <w:rPr>
          <w:rStyle w:val="Appelnotedebasdep"/>
        </w:rPr>
        <w:footnoteRef/>
      </w:r>
      <w:r w:rsidRPr="00794EEE">
        <w:rPr>
          <w:lang w:val="fr-FR"/>
        </w:rPr>
        <w:t xml:space="preserve"> </w:t>
      </w:r>
      <w:r w:rsidRPr="00794EEE">
        <w:rPr>
          <w:rFonts w:cstheme="minorHAnsi"/>
          <w:lang w:val="fr-FR"/>
        </w:rPr>
        <w:t xml:space="preserve">Our </w:t>
      </w:r>
      <w:proofErr w:type="spellStart"/>
      <w:r w:rsidRPr="00794EEE">
        <w:rPr>
          <w:rFonts w:cstheme="minorHAnsi"/>
          <w:lang w:val="fr-FR"/>
        </w:rPr>
        <w:t>analysis</w:t>
      </w:r>
      <w:proofErr w:type="spellEnd"/>
      <w:r w:rsidRPr="00794EEE">
        <w:rPr>
          <w:rFonts w:cstheme="minorHAnsi"/>
          <w:lang w:val="fr-FR"/>
        </w:rPr>
        <w:t xml:space="preserve"> </w:t>
      </w:r>
      <w:proofErr w:type="spellStart"/>
      <w:r w:rsidRPr="00794EEE">
        <w:rPr>
          <w:rFonts w:cstheme="minorHAnsi"/>
          <w:lang w:val="fr-FR"/>
        </w:rPr>
        <w:t>focuses</w:t>
      </w:r>
      <w:proofErr w:type="spellEnd"/>
      <w:r w:rsidRPr="00794EEE">
        <w:rPr>
          <w:rFonts w:cstheme="minorHAnsi"/>
          <w:lang w:val="fr-FR"/>
        </w:rPr>
        <w:t xml:space="preserve"> </w:t>
      </w:r>
      <w:proofErr w:type="spellStart"/>
      <w:r w:rsidRPr="00794EEE">
        <w:rPr>
          <w:rFonts w:cstheme="minorHAnsi"/>
          <w:lang w:val="fr-FR"/>
        </w:rPr>
        <w:t>specifically</w:t>
      </w:r>
      <w:proofErr w:type="spellEnd"/>
      <w:r w:rsidRPr="00794EEE">
        <w:rPr>
          <w:rFonts w:cstheme="minorHAnsi"/>
          <w:lang w:val="fr-FR"/>
        </w:rPr>
        <w:t xml:space="preserve"> on </w:t>
      </w:r>
      <w:proofErr w:type="spellStart"/>
      <w:r w:rsidRPr="00794EEE">
        <w:rPr>
          <w:rFonts w:cstheme="minorHAnsi"/>
          <w:lang w:val="fr-FR"/>
        </w:rPr>
        <w:t>SCPIs</w:t>
      </w:r>
      <w:proofErr w:type="spellEnd"/>
      <w:r w:rsidRPr="00794EEE">
        <w:rPr>
          <w:rFonts w:cstheme="minorHAnsi"/>
          <w:lang w:val="fr-FR"/>
        </w:rPr>
        <w:t xml:space="preserve"> </w:t>
      </w:r>
      <w:proofErr w:type="spellStart"/>
      <w:r w:rsidRPr="00794EEE">
        <w:rPr>
          <w:rFonts w:cstheme="minorHAnsi"/>
          <w:lang w:val="fr-FR"/>
        </w:rPr>
        <w:t>invested</w:t>
      </w:r>
      <w:proofErr w:type="spellEnd"/>
      <w:r w:rsidRPr="00794EEE">
        <w:rPr>
          <w:rFonts w:cstheme="minorHAnsi"/>
          <w:lang w:val="fr-FR"/>
        </w:rPr>
        <w:t xml:space="preserve"> in commercial real </w:t>
      </w:r>
      <w:proofErr w:type="spellStart"/>
      <w:r w:rsidRPr="00794EEE">
        <w:rPr>
          <w:rFonts w:cstheme="minorHAnsi"/>
          <w:lang w:val="fr-FR"/>
        </w:rPr>
        <w:t>estate</w:t>
      </w:r>
      <w:proofErr w:type="spellEnd"/>
      <w:r w:rsidRPr="00794EEE">
        <w:rPr>
          <w:rFonts w:cstheme="minorHAnsi"/>
          <w:lang w:val="fr-FR"/>
        </w:rPr>
        <w:t xml:space="preserve">. </w:t>
      </w:r>
      <w:r w:rsidRPr="005D45BC">
        <w:rPr>
          <w:rFonts w:cstheme="minorHAnsi"/>
        </w:rPr>
        <w:t>They have the longest track record and represent 94% of the market in terms of assets under management (AUM)</w:t>
      </w:r>
      <w:r w:rsidR="00794EEE">
        <w:rPr>
          <w:rFonts w:cstheme="minorHAnsi"/>
        </w:rPr>
        <w:t>.</w:t>
      </w:r>
    </w:p>
  </w:footnote>
  <w:footnote w:id="3">
    <w:p w14:paraId="201E3EAE" w14:textId="6448216B" w:rsidR="00DF0D6E" w:rsidRPr="00DA6BBF" w:rsidRDefault="00DF0D6E" w:rsidP="00DF0D6E">
      <w:pPr>
        <w:pStyle w:val="Notedebasdepage"/>
        <w:rPr>
          <w:lang w:val="en-US"/>
        </w:rPr>
      </w:pPr>
      <w:r>
        <w:rPr>
          <w:rStyle w:val="Appelnotedebasdep"/>
        </w:rPr>
        <w:footnoteRef/>
      </w:r>
      <w:r>
        <w:t xml:space="preserve"> </w:t>
      </w:r>
      <w:r w:rsidRPr="0040212B">
        <w:t xml:space="preserve">This study focuses on </w:t>
      </w:r>
      <w:r>
        <w:t xml:space="preserve">a representative set of </w:t>
      </w:r>
      <w:r w:rsidRPr="0040212B">
        <w:t>53 SCPI</w:t>
      </w:r>
      <w:r>
        <w:t xml:space="preserve"> vehicles</w:t>
      </w:r>
      <w:r w:rsidR="00B956F4">
        <w:t xml:space="preserve"> between 2003 and 2019</w:t>
      </w:r>
      <w:r w:rsidR="00065280">
        <w:t xml:space="preserve">. Data was kindly provided by the </w:t>
      </w:r>
      <w:proofErr w:type="spellStart"/>
      <w:r w:rsidR="00065280" w:rsidRPr="007F56F9">
        <w:rPr>
          <w:i/>
          <w:iCs/>
        </w:rPr>
        <w:t>Institut</w:t>
      </w:r>
      <w:proofErr w:type="spellEnd"/>
      <w:r w:rsidR="00065280" w:rsidRPr="007F56F9">
        <w:rPr>
          <w:i/>
          <w:iCs/>
        </w:rPr>
        <w:t xml:space="preserve"> </w:t>
      </w:r>
      <w:r w:rsidR="0067709A" w:rsidRPr="007F56F9">
        <w:rPr>
          <w:i/>
          <w:iCs/>
        </w:rPr>
        <w:t xml:space="preserve">de </w:t>
      </w:r>
      <w:proofErr w:type="spellStart"/>
      <w:r w:rsidR="0067709A" w:rsidRPr="007F56F9">
        <w:rPr>
          <w:i/>
          <w:iCs/>
        </w:rPr>
        <w:t>l’Epargne</w:t>
      </w:r>
      <w:proofErr w:type="spellEnd"/>
      <w:r w:rsidR="0067709A" w:rsidRPr="007F56F9">
        <w:rPr>
          <w:i/>
          <w:iCs/>
        </w:rPr>
        <w:t xml:space="preserve"> </w:t>
      </w:r>
      <w:proofErr w:type="spellStart"/>
      <w:r w:rsidR="0067709A" w:rsidRPr="007F56F9">
        <w:rPr>
          <w:i/>
          <w:iCs/>
        </w:rPr>
        <w:t>Immobilière</w:t>
      </w:r>
      <w:proofErr w:type="spellEnd"/>
      <w:r w:rsidR="0067709A" w:rsidRPr="007F56F9">
        <w:rPr>
          <w:i/>
          <w:iCs/>
        </w:rPr>
        <w:t xml:space="preserve"> et </w:t>
      </w:r>
      <w:proofErr w:type="spellStart"/>
      <w:r w:rsidR="00B35BE8" w:rsidRPr="007F56F9">
        <w:rPr>
          <w:i/>
          <w:iCs/>
        </w:rPr>
        <w:t>Foncière</w:t>
      </w:r>
      <w:proofErr w:type="spellEnd"/>
      <w:r w:rsidR="0067709A">
        <w:t xml:space="preserve"> (IEIF).</w:t>
      </w:r>
    </w:p>
  </w:footnote>
  <w:footnote w:id="4">
    <w:p w14:paraId="7FB7040F" w14:textId="68212839" w:rsidR="003C46B1" w:rsidRPr="00483DBE" w:rsidRDefault="003C46B1">
      <w:pPr>
        <w:pStyle w:val="Notedebasdepage"/>
        <w:rPr>
          <w:lang w:val="en-US"/>
        </w:rPr>
      </w:pPr>
      <w:r>
        <w:rPr>
          <w:rStyle w:val="Appelnotedebasdep"/>
        </w:rPr>
        <w:footnoteRef/>
      </w:r>
      <w:r>
        <w:t xml:space="preserve"> </w:t>
      </w:r>
      <w:r w:rsidRPr="003C46B1">
        <w:t>The average annual total returns over the sample period vary from 5.2% to 13.4%, a significant discrepancy over a 16-year horizon</w:t>
      </w:r>
      <w:r w:rsidR="00794EEE">
        <w:t>.</w:t>
      </w:r>
    </w:p>
  </w:footnote>
  <w:footnote w:id="5">
    <w:p w14:paraId="34C470E0" w14:textId="6338A7B2" w:rsidR="005B2754" w:rsidRPr="00483DBE" w:rsidRDefault="005B2754">
      <w:pPr>
        <w:pStyle w:val="Notedebasdepage"/>
        <w:rPr>
          <w:lang w:val="fr-FR"/>
        </w:rPr>
      </w:pPr>
      <w:r>
        <w:rPr>
          <w:rStyle w:val="Appelnotedebasdep"/>
        </w:rPr>
        <w:footnoteRef/>
      </w:r>
      <w:r>
        <w:t xml:space="preserve"> </w:t>
      </w:r>
      <w:proofErr w:type="spellStart"/>
      <w:r>
        <w:rPr>
          <w:lang w:val="fr-FR"/>
        </w:rPr>
        <w:t>With</w:t>
      </w:r>
      <w:proofErr w:type="spellEnd"/>
      <w:r>
        <w:rPr>
          <w:lang w:val="fr-FR"/>
        </w:rPr>
        <w:t xml:space="preserve"> 53 </w:t>
      </w:r>
      <w:proofErr w:type="spellStart"/>
      <w:r>
        <w:rPr>
          <w:lang w:val="fr-FR"/>
        </w:rPr>
        <w:t>constituents</w:t>
      </w:r>
      <w:proofErr w:type="spellEnd"/>
      <w:r w:rsidR="00794EEE">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CC67" w14:textId="77777777" w:rsidR="00AA3159" w:rsidRDefault="00AA31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963E" w14:textId="77777777" w:rsidR="00AA3159" w:rsidRDefault="00AA31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FD88" w14:textId="77777777" w:rsidR="00AA3159" w:rsidRDefault="00AA31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74932"/>
    <w:multiLevelType w:val="hybridMultilevel"/>
    <w:tmpl w:val="7FC42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9535D4"/>
    <w:multiLevelType w:val="hybridMultilevel"/>
    <w:tmpl w:val="83689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7A5237"/>
    <w:multiLevelType w:val="hybridMultilevel"/>
    <w:tmpl w:val="4C7215E4"/>
    <w:lvl w:ilvl="0" w:tplc="FFFFFFFF">
      <w:start w:val="1"/>
      <w:numFmt w:val="bullet"/>
      <w:pStyle w:val="Bulleted"/>
      <w:lvlText w:val=""/>
      <w:lvlJc w:val="left"/>
      <w:pPr>
        <w:tabs>
          <w:tab w:val="num" w:pos="284"/>
        </w:tabs>
        <w:ind w:left="284" w:hanging="284"/>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63E73"/>
    <w:multiLevelType w:val="hybridMultilevel"/>
    <w:tmpl w:val="4882296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06478"/>
    <w:multiLevelType w:val="hybridMultilevel"/>
    <w:tmpl w:val="A7644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333F2A"/>
    <w:multiLevelType w:val="hybridMultilevel"/>
    <w:tmpl w:val="C66E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313A8"/>
    <w:multiLevelType w:val="hybridMultilevel"/>
    <w:tmpl w:val="201AFB72"/>
    <w:lvl w:ilvl="0" w:tplc="B7A247A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C330411"/>
    <w:multiLevelType w:val="hybridMultilevel"/>
    <w:tmpl w:val="419C743A"/>
    <w:lvl w:ilvl="0" w:tplc="4CC220BC">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303414A"/>
    <w:multiLevelType w:val="hybridMultilevel"/>
    <w:tmpl w:val="5D2E1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4A5460"/>
    <w:multiLevelType w:val="hybridMultilevel"/>
    <w:tmpl w:val="5C7A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07C92"/>
    <w:multiLevelType w:val="hybridMultilevel"/>
    <w:tmpl w:val="52EEEE7E"/>
    <w:lvl w:ilvl="0" w:tplc="19D67A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59760C"/>
    <w:multiLevelType w:val="hybridMultilevel"/>
    <w:tmpl w:val="0B226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9"/>
  </w:num>
  <w:num w:numId="9">
    <w:abstractNumId w:val="5"/>
  </w:num>
  <w:num w:numId="10">
    <w:abstractNumId w:val="10"/>
  </w:num>
  <w:num w:numId="11">
    <w:abstractNumId w:val="12"/>
  </w:num>
  <w:num w:numId="12">
    <w:abstractNumId w:val="3"/>
  </w:num>
  <w:num w:numId="13">
    <w:abstractNumId w:val="0"/>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0"/>
    <w:rsid w:val="00002229"/>
    <w:rsid w:val="000026A1"/>
    <w:rsid w:val="000029A4"/>
    <w:rsid w:val="00004F08"/>
    <w:rsid w:val="00005BF6"/>
    <w:rsid w:val="00006D7B"/>
    <w:rsid w:val="000078B8"/>
    <w:rsid w:val="0001354B"/>
    <w:rsid w:val="000138CF"/>
    <w:rsid w:val="000208CF"/>
    <w:rsid w:val="00023DEF"/>
    <w:rsid w:val="00024026"/>
    <w:rsid w:val="00034366"/>
    <w:rsid w:val="000353ED"/>
    <w:rsid w:val="000354A2"/>
    <w:rsid w:val="0003571D"/>
    <w:rsid w:val="0004000E"/>
    <w:rsid w:val="00046C12"/>
    <w:rsid w:val="000518D7"/>
    <w:rsid w:val="000521B1"/>
    <w:rsid w:val="0005230C"/>
    <w:rsid w:val="00053520"/>
    <w:rsid w:val="00057F94"/>
    <w:rsid w:val="00065280"/>
    <w:rsid w:val="0006542B"/>
    <w:rsid w:val="0006559F"/>
    <w:rsid w:val="00075A5B"/>
    <w:rsid w:val="00081018"/>
    <w:rsid w:val="000818A4"/>
    <w:rsid w:val="000822EB"/>
    <w:rsid w:val="00083047"/>
    <w:rsid w:val="000867E0"/>
    <w:rsid w:val="000937CA"/>
    <w:rsid w:val="00093F5D"/>
    <w:rsid w:val="00094321"/>
    <w:rsid w:val="000961CA"/>
    <w:rsid w:val="0009747F"/>
    <w:rsid w:val="000977BC"/>
    <w:rsid w:val="000B42B0"/>
    <w:rsid w:val="000B6C0D"/>
    <w:rsid w:val="000B76E6"/>
    <w:rsid w:val="000C46F8"/>
    <w:rsid w:val="000C54E5"/>
    <w:rsid w:val="000D04CC"/>
    <w:rsid w:val="000D123D"/>
    <w:rsid w:val="000D30FB"/>
    <w:rsid w:val="000D51B5"/>
    <w:rsid w:val="000E0149"/>
    <w:rsid w:val="000E4E66"/>
    <w:rsid w:val="000E706B"/>
    <w:rsid w:val="000F1556"/>
    <w:rsid w:val="000F6C7E"/>
    <w:rsid w:val="000F7835"/>
    <w:rsid w:val="000F7D4C"/>
    <w:rsid w:val="00101690"/>
    <w:rsid w:val="0010231C"/>
    <w:rsid w:val="00104363"/>
    <w:rsid w:val="00106D4E"/>
    <w:rsid w:val="00107976"/>
    <w:rsid w:val="00110AEF"/>
    <w:rsid w:val="001114D8"/>
    <w:rsid w:val="00111549"/>
    <w:rsid w:val="00111BCF"/>
    <w:rsid w:val="00113480"/>
    <w:rsid w:val="00114469"/>
    <w:rsid w:val="00114DEF"/>
    <w:rsid w:val="00115192"/>
    <w:rsid w:val="00115871"/>
    <w:rsid w:val="001161EC"/>
    <w:rsid w:val="00116335"/>
    <w:rsid w:val="00116D97"/>
    <w:rsid w:val="00116E86"/>
    <w:rsid w:val="00120A85"/>
    <w:rsid w:val="00123075"/>
    <w:rsid w:val="00123118"/>
    <w:rsid w:val="00123D7B"/>
    <w:rsid w:val="00125CE7"/>
    <w:rsid w:val="00127776"/>
    <w:rsid w:val="00130341"/>
    <w:rsid w:val="00132444"/>
    <w:rsid w:val="001347B1"/>
    <w:rsid w:val="001357C2"/>
    <w:rsid w:val="001372DA"/>
    <w:rsid w:val="00141F2C"/>
    <w:rsid w:val="001532CC"/>
    <w:rsid w:val="001547F7"/>
    <w:rsid w:val="00164F84"/>
    <w:rsid w:val="00165C3E"/>
    <w:rsid w:val="001661F2"/>
    <w:rsid w:val="00171C6B"/>
    <w:rsid w:val="001804FF"/>
    <w:rsid w:val="001806A2"/>
    <w:rsid w:val="001866B0"/>
    <w:rsid w:val="001869A2"/>
    <w:rsid w:val="0018701E"/>
    <w:rsid w:val="00190748"/>
    <w:rsid w:val="00193F42"/>
    <w:rsid w:val="001A1178"/>
    <w:rsid w:val="001B1BD2"/>
    <w:rsid w:val="001B54BE"/>
    <w:rsid w:val="001C17C4"/>
    <w:rsid w:val="001C318A"/>
    <w:rsid w:val="001C3D1D"/>
    <w:rsid w:val="001C70E1"/>
    <w:rsid w:val="001C7C6D"/>
    <w:rsid w:val="001D06E5"/>
    <w:rsid w:val="001D4FA0"/>
    <w:rsid w:val="001D69E2"/>
    <w:rsid w:val="001D6D13"/>
    <w:rsid w:val="001D7FA6"/>
    <w:rsid w:val="001E1712"/>
    <w:rsid w:val="001E19C8"/>
    <w:rsid w:val="001E277D"/>
    <w:rsid w:val="001E28D2"/>
    <w:rsid w:val="001E6E8B"/>
    <w:rsid w:val="001E7477"/>
    <w:rsid w:val="001F0D90"/>
    <w:rsid w:val="001F12B9"/>
    <w:rsid w:val="001F26F7"/>
    <w:rsid w:val="001F5E8D"/>
    <w:rsid w:val="00202239"/>
    <w:rsid w:val="002031C4"/>
    <w:rsid w:val="00204B6D"/>
    <w:rsid w:val="00205AF3"/>
    <w:rsid w:val="00206FCA"/>
    <w:rsid w:val="00210A64"/>
    <w:rsid w:val="002160DB"/>
    <w:rsid w:val="002226C7"/>
    <w:rsid w:val="00225DD0"/>
    <w:rsid w:val="00233198"/>
    <w:rsid w:val="002417DD"/>
    <w:rsid w:val="00245654"/>
    <w:rsid w:val="00245F77"/>
    <w:rsid w:val="00246052"/>
    <w:rsid w:val="002471EA"/>
    <w:rsid w:val="00251182"/>
    <w:rsid w:val="00251951"/>
    <w:rsid w:val="00251A9B"/>
    <w:rsid w:val="00252526"/>
    <w:rsid w:val="00256214"/>
    <w:rsid w:val="00262300"/>
    <w:rsid w:val="0026356A"/>
    <w:rsid w:val="00264496"/>
    <w:rsid w:val="00264509"/>
    <w:rsid w:val="00267314"/>
    <w:rsid w:val="00267CE9"/>
    <w:rsid w:val="00275CFB"/>
    <w:rsid w:val="00276EDA"/>
    <w:rsid w:val="00277FD5"/>
    <w:rsid w:val="00280127"/>
    <w:rsid w:val="002810C3"/>
    <w:rsid w:val="00284794"/>
    <w:rsid w:val="002864F7"/>
    <w:rsid w:val="002875DE"/>
    <w:rsid w:val="002954C1"/>
    <w:rsid w:val="00296C3C"/>
    <w:rsid w:val="002A0140"/>
    <w:rsid w:val="002A2548"/>
    <w:rsid w:val="002A70AF"/>
    <w:rsid w:val="002A7EC2"/>
    <w:rsid w:val="002B260A"/>
    <w:rsid w:val="002B3E77"/>
    <w:rsid w:val="002B57EB"/>
    <w:rsid w:val="002B67E2"/>
    <w:rsid w:val="002C6B7E"/>
    <w:rsid w:val="002D1611"/>
    <w:rsid w:val="002D3C97"/>
    <w:rsid w:val="002D4270"/>
    <w:rsid w:val="002E1030"/>
    <w:rsid w:val="002E3401"/>
    <w:rsid w:val="002E5B90"/>
    <w:rsid w:val="002E6F08"/>
    <w:rsid w:val="002F28DE"/>
    <w:rsid w:val="002F6948"/>
    <w:rsid w:val="002F77B4"/>
    <w:rsid w:val="00301940"/>
    <w:rsid w:val="00302387"/>
    <w:rsid w:val="00311456"/>
    <w:rsid w:val="00311620"/>
    <w:rsid w:val="0031387D"/>
    <w:rsid w:val="003139AB"/>
    <w:rsid w:val="00316A02"/>
    <w:rsid w:val="003177A3"/>
    <w:rsid w:val="00321D53"/>
    <w:rsid w:val="00333BAF"/>
    <w:rsid w:val="00336A71"/>
    <w:rsid w:val="00337F9B"/>
    <w:rsid w:val="003461AE"/>
    <w:rsid w:val="003475FA"/>
    <w:rsid w:val="00347611"/>
    <w:rsid w:val="00350405"/>
    <w:rsid w:val="0035330E"/>
    <w:rsid w:val="003622AD"/>
    <w:rsid w:val="00363CCF"/>
    <w:rsid w:val="00363DDA"/>
    <w:rsid w:val="00365FC9"/>
    <w:rsid w:val="00370573"/>
    <w:rsid w:val="00371F5A"/>
    <w:rsid w:val="003742EB"/>
    <w:rsid w:val="00377152"/>
    <w:rsid w:val="00380DE1"/>
    <w:rsid w:val="003836FE"/>
    <w:rsid w:val="0038576B"/>
    <w:rsid w:val="00386F35"/>
    <w:rsid w:val="0038731A"/>
    <w:rsid w:val="0039356B"/>
    <w:rsid w:val="003939FB"/>
    <w:rsid w:val="003958B1"/>
    <w:rsid w:val="00395A65"/>
    <w:rsid w:val="003A163A"/>
    <w:rsid w:val="003A6316"/>
    <w:rsid w:val="003B0260"/>
    <w:rsid w:val="003B13CC"/>
    <w:rsid w:val="003B7EE3"/>
    <w:rsid w:val="003C46B1"/>
    <w:rsid w:val="003C6EA1"/>
    <w:rsid w:val="003C770D"/>
    <w:rsid w:val="003D0D93"/>
    <w:rsid w:val="003D122C"/>
    <w:rsid w:val="003D359D"/>
    <w:rsid w:val="003D6648"/>
    <w:rsid w:val="003E02F0"/>
    <w:rsid w:val="003E21EE"/>
    <w:rsid w:val="003E7E9C"/>
    <w:rsid w:val="003E7FCB"/>
    <w:rsid w:val="003F19A1"/>
    <w:rsid w:val="003F700C"/>
    <w:rsid w:val="00401D12"/>
    <w:rsid w:val="0040212B"/>
    <w:rsid w:val="00406382"/>
    <w:rsid w:val="004137C9"/>
    <w:rsid w:val="00413E33"/>
    <w:rsid w:val="004275CF"/>
    <w:rsid w:val="004306A9"/>
    <w:rsid w:val="004331E2"/>
    <w:rsid w:val="00433D4A"/>
    <w:rsid w:val="004343B9"/>
    <w:rsid w:val="00441E8E"/>
    <w:rsid w:val="00443539"/>
    <w:rsid w:val="00444C61"/>
    <w:rsid w:val="00451A59"/>
    <w:rsid w:val="00452C34"/>
    <w:rsid w:val="00453595"/>
    <w:rsid w:val="004540A3"/>
    <w:rsid w:val="00455285"/>
    <w:rsid w:val="004624E0"/>
    <w:rsid w:val="00462BC2"/>
    <w:rsid w:val="00463C32"/>
    <w:rsid w:val="00465FB5"/>
    <w:rsid w:val="00470BCD"/>
    <w:rsid w:val="004772BB"/>
    <w:rsid w:val="00482F9F"/>
    <w:rsid w:val="00483DBE"/>
    <w:rsid w:val="00490976"/>
    <w:rsid w:val="004977F1"/>
    <w:rsid w:val="004A06F2"/>
    <w:rsid w:val="004A0A00"/>
    <w:rsid w:val="004A2920"/>
    <w:rsid w:val="004A71D8"/>
    <w:rsid w:val="004A7AFB"/>
    <w:rsid w:val="004B0ACA"/>
    <w:rsid w:val="004B6220"/>
    <w:rsid w:val="004C0CCD"/>
    <w:rsid w:val="004C4DC3"/>
    <w:rsid w:val="004C7D2B"/>
    <w:rsid w:val="004D0478"/>
    <w:rsid w:val="004D1666"/>
    <w:rsid w:val="004D170E"/>
    <w:rsid w:val="004D381F"/>
    <w:rsid w:val="004D6761"/>
    <w:rsid w:val="004E381F"/>
    <w:rsid w:val="004E3980"/>
    <w:rsid w:val="004E7315"/>
    <w:rsid w:val="004E7CAA"/>
    <w:rsid w:val="004F25FC"/>
    <w:rsid w:val="004F4DD6"/>
    <w:rsid w:val="004F61D3"/>
    <w:rsid w:val="004F7E21"/>
    <w:rsid w:val="005036C8"/>
    <w:rsid w:val="0050445F"/>
    <w:rsid w:val="005057B5"/>
    <w:rsid w:val="005072DD"/>
    <w:rsid w:val="00507C7A"/>
    <w:rsid w:val="00510B9B"/>
    <w:rsid w:val="005148F4"/>
    <w:rsid w:val="0051554B"/>
    <w:rsid w:val="00516969"/>
    <w:rsid w:val="00521A13"/>
    <w:rsid w:val="005224F9"/>
    <w:rsid w:val="005245F4"/>
    <w:rsid w:val="00526B08"/>
    <w:rsid w:val="005271C3"/>
    <w:rsid w:val="0053387F"/>
    <w:rsid w:val="005350B2"/>
    <w:rsid w:val="00536934"/>
    <w:rsid w:val="00537D6D"/>
    <w:rsid w:val="0054020A"/>
    <w:rsid w:val="005402CD"/>
    <w:rsid w:val="00544FAD"/>
    <w:rsid w:val="0055378E"/>
    <w:rsid w:val="005551BA"/>
    <w:rsid w:val="005605EF"/>
    <w:rsid w:val="00573305"/>
    <w:rsid w:val="005737EB"/>
    <w:rsid w:val="00574041"/>
    <w:rsid w:val="005763AB"/>
    <w:rsid w:val="0058040E"/>
    <w:rsid w:val="005833E1"/>
    <w:rsid w:val="00583888"/>
    <w:rsid w:val="00585697"/>
    <w:rsid w:val="00592395"/>
    <w:rsid w:val="00592573"/>
    <w:rsid w:val="00596517"/>
    <w:rsid w:val="0059691A"/>
    <w:rsid w:val="005A06EC"/>
    <w:rsid w:val="005A1DF7"/>
    <w:rsid w:val="005A3CEC"/>
    <w:rsid w:val="005A6BF8"/>
    <w:rsid w:val="005B0D4C"/>
    <w:rsid w:val="005B1013"/>
    <w:rsid w:val="005B223D"/>
    <w:rsid w:val="005B2754"/>
    <w:rsid w:val="005B51B1"/>
    <w:rsid w:val="005B793B"/>
    <w:rsid w:val="005C3CA7"/>
    <w:rsid w:val="005C7F17"/>
    <w:rsid w:val="005D1618"/>
    <w:rsid w:val="005D3B19"/>
    <w:rsid w:val="005D3EB1"/>
    <w:rsid w:val="005D3F2C"/>
    <w:rsid w:val="005D45BC"/>
    <w:rsid w:val="005E1392"/>
    <w:rsid w:val="005E711B"/>
    <w:rsid w:val="005E7CAA"/>
    <w:rsid w:val="005F001C"/>
    <w:rsid w:val="005F3172"/>
    <w:rsid w:val="005F36A8"/>
    <w:rsid w:val="005F4AD4"/>
    <w:rsid w:val="005F52BC"/>
    <w:rsid w:val="0060457D"/>
    <w:rsid w:val="006077E4"/>
    <w:rsid w:val="00611A3B"/>
    <w:rsid w:val="006131EE"/>
    <w:rsid w:val="00622B38"/>
    <w:rsid w:val="00625333"/>
    <w:rsid w:val="00630AD5"/>
    <w:rsid w:val="00631508"/>
    <w:rsid w:val="006349B3"/>
    <w:rsid w:val="0063565D"/>
    <w:rsid w:val="00635D2E"/>
    <w:rsid w:val="00640D33"/>
    <w:rsid w:val="006428D6"/>
    <w:rsid w:val="00652DF1"/>
    <w:rsid w:val="0065588C"/>
    <w:rsid w:val="00657D97"/>
    <w:rsid w:val="0066063A"/>
    <w:rsid w:val="00661D27"/>
    <w:rsid w:val="00670F20"/>
    <w:rsid w:val="00672B0E"/>
    <w:rsid w:val="00674355"/>
    <w:rsid w:val="00676578"/>
    <w:rsid w:val="00676F17"/>
    <w:rsid w:val="00676FB2"/>
    <w:rsid w:val="0067709A"/>
    <w:rsid w:val="00677BBC"/>
    <w:rsid w:val="00681E0D"/>
    <w:rsid w:val="006838CD"/>
    <w:rsid w:val="00683FD7"/>
    <w:rsid w:val="006852C0"/>
    <w:rsid w:val="00696CD9"/>
    <w:rsid w:val="006978A3"/>
    <w:rsid w:val="006A1DC5"/>
    <w:rsid w:val="006A7440"/>
    <w:rsid w:val="006A77A0"/>
    <w:rsid w:val="006B11FA"/>
    <w:rsid w:val="006B2613"/>
    <w:rsid w:val="006B7449"/>
    <w:rsid w:val="006B7F9C"/>
    <w:rsid w:val="006C0B2E"/>
    <w:rsid w:val="006C3796"/>
    <w:rsid w:val="006C5099"/>
    <w:rsid w:val="006D0A82"/>
    <w:rsid w:val="006D0FE2"/>
    <w:rsid w:val="006D163E"/>
    <w:rsid w:val="006D19DF"/>
    <w:rsid w:val="006D3903"/>
    <w:rsid w:val="006D47D4"/>
    <w:rsid w:val="006D4ADF"/>
    <w:rsid w:val="006E131C"/>
    <w:rsid w:val="006E7A3D"/>
    <w:rsid w:val="006F493C"/>
    <w:rsid w:val="006F5DD4"/>
    <w:rsid w:val="006F603A"/>
    <w:rsid w:val="006F6590"/>
    <w:rsid w:val="006F7744"/>
    <w:rsid w:val="0070004B"/>
    <w:rsid w:val="00706949"/>
    <w:rsid w:val="00711651"/>
    <w:rsid w:val="00715587"/>
    <w:rsid w:val="00717714"/>
    <w:rsid w:val="00722039"/>
    <w:rsid w:val="00724CA0"/>
    <w:rsid w:val="00731E0D"/>
    <w:rsid w:val="0073265D"/>
    <w:rsid w:val="00734EF5"/>
    <w:rsid w:val="0073591B"/>
    <w:rsid w:val="007371B7"/>
    <w:rsid w:val="00746DC1"/>
    <w:rsid w:val="0075243D"/>
    <w:rsid w:val="007533CD"/>
    <w:rsid w:val="00753408"/>
    <w:rsid w:val="00760D97"/>
    <w:rsid w:val="007614F6"/>
    <w:rsid w:val="00766200"/>
    <w:rsid w:val="007669EF"/>
    <w:rsid w:val="00772444"/>
    <w:rsid w:val="00774D19"/>
    <w:rsid w:val="00776F3E"/>
    <w:rsid w:val="00776F9A"/>
    <w:rsid w:val="0078214B"/>
    <w:rsid w:val="0078373A"/>
    <w:rsid w:val="007867CD"/>
    <w:rsid w:val="0079172F"/>
    <w:rsid w:val="00791EC5"/>
    <w:rsid w:val="007923C4"/>
    <w:rsid w:val="00794EEE"/>
    <w:rsid w:val="007B007C"/>
    <w:rsid w:val="007B3BD5"/>
    <w:rsid w:val="007B5711"/>
    <w:rsid w:val="007C0B0C"/>
    <w:rsid w:val="007C20DA"/>
    <w:rsid w:val="007C51FA"/>
    <w:rsid w:val="007C59EC"/>
    <w:rsid w:val="007D05C5"/>
    <w:rsid w:val="007D13A1"/>
    <w:rsid w:val="007D1C9C"/>
    <w:rsid w:val="007E24A5"/>
    <w:rsid w:val="007F0F82"/>
    <w:rsid w:val="007F10A3"/>
    <w:rsid w:val="007F56F9"/>
    <w:rsid w:val="008039BD"/>
    <w:rsid w:val="008049BA"/>
    <w:rsid w:val="00805299"/>
    <w:rsid w:val="00805BC2"/>
    <w:rsid w:val="008071FB"/>
    <w:rsid w:val="008133E2"/>
    <w:rsid w:val="00813442"/>
    <w:rsid w:val="0081625C"/>
    <w:rsid w:val="008221B8"/>
    <w:rsid w:val="00825B95"/>
    <w:rsid w:val="00831A5A"/>
    <w:rsid w:val="00831AC7"/>
    <w:rsid w:val="00831D5D"/>
    <w:rsid w:val="00834F0D"/>
    <w:rsid w:val="008412DB"/>
    <w:rsid w:val="008564A7"/>
    <w:rsid w:val="008573A0"/>
    <w:rsid w:val="0086138D"/>
    <w:rsid w:val="00863BD3"/>
    <w:rsid w:val="008663CD"/>
    <w:rsid w:val="00873D7D"/>
    <w:rsid w:val="00874574"/>
    <w:rsid w:val="00874ECB"/>
    <w:rsid w:val="008804E2"/>
    <w:rsid w:val="00882B27"/>
    <w:rsid w:val="00882BC3"/>
    <w:rsid w:val="00882E69"/>
    <w:rsid w:val="00884A9A"/>
    <w:rsid w:val="008850D0"/>
    <w:rsid w:val="00885165"/>
    <w:rsid w:val="008861A1"/>
    <w:rsid w:val="0089775C"/>
    <w:rsid w:val="008A0F61"/>
    <w:rsid w:val="008A18C2"/>
    <w:rsid w:val="008A3FAC"/>
    <w:rsid w:val="008A51FF"/>
    <w:rsid w:val="008B52E9"/>
    <w:rsid w:val="008B6632"/>
    <w:rsid w:val="008D1C9C"/>
    <w:rsid w:val="008D22EC"/>
    <w:rsid w:val="008D4255"/>
    <w:rsid w:val="008D5C4C"/>
    <w:rsid w:val="008E187A"/>
    <w:rsid w:val="008E5392"/>
    <w:rsid w:val="008E6F78"/>
    <w:rsid w:val="008E7437"/>
    <w:rsid w:val="008F4CDA"/>
    <w:rsid w:val="008F5721"/>
    <w:rsid w:val="008F57E4"/>
    <w:rsid w:val="008F6181"/>
    <w:rsid w:val="00902BA1"/>
    <w:rsid w:val="0090347D"/>
    <w:rsid w:val="00906049"/>
    <w:rsid w:val="00910963"/>
    <w:rsid w:val="00911D35"/>
    <w:rsid w:val="009153D2"/>
    <w:rsid w:val="009158FA"/>
    <w:rsid w:val="009172DF"/>
    <w:rsid w:val="009174BA"/>
    <w:rsid w:val="00917907"/>
    <w:rsid w:val="00917AA1"/>
    <w:rsid w:val="00927623"/>
    <w:rsid w:val="0093015F"/>
    <w:rsid w:val="009427F3"/>
    <w:rsid w:val="00945045"/>
    <w:rsid w:val="009453A3"/>
    <w:rsid w:val="0096097B"/>
    <w:rsid w:val="00961019"/>
    <w:rsid w:val="00961568"/>
    <w:rsid w:val="00962F02"/>
    <w:rsid w:val="00965DA8"/>
    <w:rsid w:val="0096602B"/>
    <w:rsid w:val="00966076"/>
    <w:rsid w:val="00971FE5"/>
    <w:rsid w:val="00975671"/>
    <w:rsid w:val="009810E7"/>
    <w:rsid w:val="009905F4"/>
    <w:rsid w:val="0099381B"/>
    <w:rsid w:val="00993A8E"/>
    <w:rsid w:val="009A1848"/>
    <w:rsid w:val="009A1EA4"/>
    <w:rsid w:val="009A4952"/>
    <w:rsid w:val="009C1DE9"/>
    <w:rsid w:val="009C34A6"/>
    <w:rsid w:val="009C6866"/>
    <w:rsid w:val="009C7795"/>
    <w:rsid w:val="009D1631"/>
    <w:rsid w:val="009D40E3"/>
    <w:rsid w:val="009D4FE5"/>
    <w:rsid w:val="009E0BDA"/>
    <w:rsid w:val="009E1887"/>
    <w:rsid w:val="009E1EC4"/>
    <w:rsid w:val="009E437C"/>
    <w:rsid w:val="009E48AD"/>
    <w:rsid w:val="009E67EE"/>
    <w:rsid w:val="009F0C43"/>
    <w:rsid w:val="009F5583"/>
    <w:rsid w:val="009F7093"/>
    <w:rsid w:val="00A0163C"/>
    <w:rsid w:val="00A0394D"/>
    <w:rsid w:val="00A112F0"/>
    <w:rsid w:val="00A11E1F"/>
    <w:rsid w:val="00A200E1"/>
    <w:rsid w:val="00A222D0"/>
    <w:rsid w:val="00A26048"/>
    <w:rsid w:val="00A3188B"/>
    <w:rsid w:val="00A32C13"/>
    <w:rsid w:val="00A33F48"/>
    <w:rsid w:val="00A341CB"/>
    <w:rsid w:val="00A36A34"/>
    <w:rsid w:val="00A4035B"/>
    <w:rsid w:val="00A45BA4"/>
    <w:rsid w:val="00A502F8"/>
    <w:rsid w:val="00A52AE0"/>
    <w:rsid w:val="00A53202"/>
    <w:rsid w:val="00A53B2C"/>
    <w:rsid w:val="00A70A42"/>
    <w:rsid w:val="00A71244"/>
    <w:rsid w:val="00A765AC"/>
    <w:rsid w:val="00A85C94"/>
    <w:rsid w:val="00A92622"/>
    <w:rsid w:val="00A96B25"/>
    <w:rsid w:val="00AA1A13"/>
    <w:rsid w:val="00AA2072"/>
    <w:rsid w:val="00AA3159"/>
    <w:rsid w:val="00AA3F38"/>
    <w:rsid w:val="00AA5CF1"/>
    <w:rsid w:val="00AB2812"/>
    <w:rsid w:val="00AB3894"/>
    <w:rsid w:val="00AB64C5"/>
    <w:rsid w:val="00AB6513"/>
    <w:rsid w:val="00AB6D42"/>
    <w:rsid w:val="00AB6E67"/>
    <w:rsid w:val="00AC0F87"/>
    <w:rsid w:val="00AC14C8"/>
    <w:rsid w:val="00AC3084"/>
    <w:rsid w:val="00AC39F0"/>
    <w:rsid w:val="00AC5322"/>
    <w:rsid w:val="00AC7952"/>
    <w:rsid w:val="00AD4084"/>
    <w:rsid w:val="00AD4874"/>
    <w:rsid w:val="00AD5292"/>
    <w:rsid w:val="00AD6AA8"/>
    <w:rsid w:val="00AE4253"/>
    <w:rsid w:val="00AE5609"/>
    <w:rsid w:val="00AF252E"/>
    <w:rsid w:val="00AF2BBF"/>
    <w:rsid w:val="00AF41E9"/>
    <w:rsid w:val="00AF4EEA"/>
    <w:rsid w:val="00AF6398"/>
    <w:rsid w:val="00B0249E"/>
    <w:rsid w:val="00B0250D"/>
    <w:rsid w:val="00B03366"/>
    <w:rsid w:val="00B03A65"/>
    <w:rsid w:val="00B0500B"/>
    <w:rsid w:val="00B05EF4"/>
    <w:rsid w:val="00B06754"/>
    <w:rsid w:val="00B1465B"/>
    <w:rsid w:val="00B2641B"/>
    <w:rsid w:val="00B27288"/>
    <w:rsid w:val="00B35BE8"/>
    <w:rsid w:val="00B368E5"/>
    <w:rsid w:val="00B36B60"/>
    <w:rsid w:val="00B4028D"/>
    <w:rsid w:val="00B405D4"/>
    <w:rsid w:val="00B40D23"/>
    <w:rsid w:val="00B412AD"/>
    <w:rsid w:val="00B41979"/>
    <w:rsid w:val="00B51220"/>
    <w:rsid w:val="00B5126E"/>
    <w:rsid w:val="00B52EB4"/>
    <w:rsid w:val="00B52F7B"/>
    <w:rsid w:val="00B54921"/>
    <w:rsid w:val="00B54C70"/>
    <w:rsid w:val="00B61132"/>
    <w:rsid w:val="00B666BD"/>
    <w:rsid w:val="00B70307"/>
    <w:rsid w:val="00B706AA"/>
    <w:rsid w:val="00B754D4"/>
    <w:rsid w:val="00B777B5"/>
    <w:rsid w:val="00B778E4"/>
    <w:rsid w:val="00B82BA6"/>
    <w:rsid w:val="00B84F07"/>
    <w:rsid w:val="00B9336C"/>
    <w:rsid w:val="00B956F4"/>
    <w:rsid w:val="00B96BD2"/>
    <w:rsid w:val="00B96D53"/>
    <w:rsid w:val="00BA033D"/>
    <w:rsid w:val="00BA2298"/>
    <w:rsid w:val="00BA6B17"/>
    <w:rsid w:val="00BA7C1D"/>
    <w:rsid w:val="00BB1511"/>
    <w:rsid w:val="00BB179E"/>
    <w:rsid w:val="00BB3D1D"/>
    <w:rsid w:val="00BB403E"/>
    <w:rsid w:val="00BB48AD"/>
    <w:rsid w:val="00BB7869"/>
    <w:rsid w:val="00BC0187"/>
    <w:rsid w:val="00BC0C17"/>
    <w:rsid w:val="00BC0DB4"/>
    <w:rsid w:val="00BC1785"/>
    <w:rsid w:val="00BC3B49"/>
    <w:rsid w:val="00BC722C"/>
    <w:rsid w:val="00BD010F"/>
    <w:rsid w:val="00BD15F3"/>
    <w:rsid w:val="00BD7110"/>
    <w:rsid w:val="00BE2632"/>
    <w:rsid w:val="00BF0698"/>
    <w:rsid w:val="00BF4654"/>
    <w:rsid w:val="00BF63AB"/>
    <w:rsid w:val="00BF78F2"/>
    <w:rsid w:val="00C0075C"/>
    <w:rsid w:val="00C10359"/>
    <w:rsid w:val="00C13D35"/>
    <w:rsid w:val="00C1408A"/>
    <w:rsid w:val="00C143B3"/>
    <w:rsid w:val="00C203DD"/>
    <w:rsid w:val="00C22824"/>
    <w:rsid w:val="00C2346A"/>
    <w:rsid w:val="00C23933"/>
    <w:rsid w:val="00C2442A"/>
    <w:rsid w:val="00C24EB3"/>
    <w:rsid w:val="00C33162"/>
    <w:rsid w:val="00C33EC2"/>
    <w:rsid w:val="00C34091"/>
    <w:rsid w:val="00C3420B"/>
    <w:rsid w:val="00C359CC"/>
    <w:rsid w:val="00C36E4C"/>
    <w:rsid w:val="00C40EDD"/>
    <w:rsid w:val="00C45CAE"/>
    <w:rsid w:val="00C46D6B"/>
    <w:rsid w:val="00C50BFE"/>
    <w:rsid w:val="00C51442"/>
    <w:rsid w:val="00C51C68"/>
    <w:rsid w:val="00C62714"/>
    <w:rsid w:val="00C6321D"/>
    <w:rsid w:val="00C63DB4"/>
    <w:rsid w:val="00C65E03"/>
    <w:rsid w:val="00C70902"/>
    <w:rsid w:val="00C751E6"/>
    <w:rsid w:val="00C76627"/>
    <w:rsid w:val="00C85510"/>
    <w:rsid w:val="00C91871"/>
    <w:rsid w:val="00C96A7E"/>
    <w:rsid w:val="00C96DA4"/>
    <w:rsid w:val="00CA4EED"/>
    <w:rsid w:val="00CA4EF4"/>
    <w:rsid w:val="00CA54AF"/>
    <w:rsid w:val="00CA7954"/>
    <w:rsid w:val="00CA7997"/>
    <w:rsid w:val="00CB249B"/>
    <w:rsid w:val="00CB6353"/>
    <w:rsid w:val="00CB6B5A"/>
    <w:rsid w:val="00CB7C6B"/>
    <w:rsid w:val="00CC0FCA"/>
    <w:rsid w:val="00CC5BFC"/>
    <w:rsid w:val="00CC71CB"/>
    <w:rsid w:val="00CC7899"/>
    <w:rsid w:val="00CD08C6"/>
    <w:rsid w:val="00CD5DD4"/>
    <w:rsid w:val="00CE17D3"/>
    <w:rsid w:val="00CE2F55"/>
    <w:rsid w:val="00CF19D2"/>
    <w:rsid w:val="00CF20A7"/>
    <w:rsid w:val="00CF4BA1"/>
    <w:rsid w:val="00CF536E"/>
    <w:rsid w:val="00D008D8"/>
    <w:rsid w:val="00D038F8"/>
    <w:rsid w:val="00D0397E"/>
    <w:rsid w:val="00D05A34"/>
    <w:rsid w:val="00D05BE9"/>
    <w:rsid w:val="00D0774B"/>
    <w:rsid w:val="00D15652"/>
    <w:rsid w:val="00D23099"/>
    <w:rsid w:val="00D2492F"/>
    <w:rsid w:val="00D31010"/>
    <w:rsid w:val="00D4167E"/>
    <w:rsid w:val="00D42461"/>
    <w:rsid w:val="00D47B8D"/>
    <w:rsid w:val="00D53DAF"/>
    <w:rsid w:val="00D556E9"/>
    <w:rsid w:val="00D5597F"/>
    <w:rsid w:val="00D569E3"/>
    <w:rsid w:val="00D57549"/>
    <w:rsid w:val="00D6288E"/>
    <w:rsid w:val="00D631EA"/>
    <w:rsid w:val="00D63729"/>
    <w:rsid w:val="00D65A53"/>
    <w:rsid w:val="00D66259"/>
    <w:rsid w:val="00D71841"/>
    <w:rsid w:val="00D773A8"/>
    <w:rsid w:val="00D83A80"/>
    <w:rsid w:val="00D85AF8"/>
    <w:rsid w:val="00D90407"/>
    <w:rsid w:val="00D94321"/>
    <w:rsid w:val="00D95BE9"/>
    <w:rsid w:val="00DA1099"/>
    <w:rsid w:val="00DA3DDC"/>
    <w:rsid w:val="00DA3FC6"/>
    <w:rsid w:val="00DA4522"/>
    <w:rsid w:val="00DA6BBF"/>
    <w:rsid w:val="00DB2998"/>
    <w:rsid w:val="00DB6D25"/>
    <w:rsid w:val="00DC2FB8"/>
    <w:rsid w:val="00DC5E3A"/>
    <w:rsid w:val="00DC632D"/>
    <w:rsid w:val="00DC7244"/>
    <w:rsid w:val="00DC7670"/>
    <w:rsid w:val="00DD1341"/>
    <w:rsid w:val="00DD1B28"/>
    <w:rsid w:val="00DD2C5A"/>
    <w:rsid w:val="00DD3CA9"/>
    <w:rsid w:val="00DE1DD5"/>
    <w:rsid w:val="00DF0D6E"/>
    <w:rsid w:val="00DF1810"/>
    <w:rsid w:val="00DF292E"/>
    <w:rsid w:val="00DF3228"/>
    <w:rsid w:val="00DF451A"/>
    <w:rsid w:val="00DF4A84"/>
    <w:rsid w:val="00DF550E"/>
    <w:rsid w:val="00DF65EC"/>
    <w:rsid w:val="00DF681C"/>
    <w:rsid w:val="00E015BA"/>
    <w:rsid w:val="00E0657D"/>
    <w:rsid w:val="00E10705"/>
    <w:rsid w:val="00E10B7E"/>
    <w:rsid w:val="00E11A23"/>
    <w:rsid w:val="00E11E47"/>
    <w:rsid w:val="00E11EA8"/>
    <w:rsid w:val="00E14C28"/>
    <w:rsid w:val="00E20F7F"/>
    <w:rsid w:val="00E23E73"/>
    <w:rsid w:val="00E24E03"/>
    <w:rsid w:val="00E27DC5"/>
    <w:rsid w:val="00E31C63"/>
    <w:rsid w:val="00E3241D"/>
    <w:rsid w:val="00E36F23"/>
    <w:rsid w:val="00E40449"/>
    <w:rsid w:val="00E41226"/>
    <w:rsid w:val="00E4196C"/>
    <w:rsid w:val="00E46976"/>
    <w:rsid w:val="00E46BC9"/>
    <w:rsid w:val="00E47EBF"/>
    <w:rsid w:val="00E639FA"/>
    <w:rsid w:val="00E71A13"/>
    <w:rsid w:val="00E80ED2"/>
    <w:rsid w:val="00E81B44"/>
    <w:rsid w:val="00E8261E"/>
    <w:rsid w:val="00E82BE9"/>
    <w:rsid w:val="00E853C1"/>
    <w:rsid w:val="00E85AA9"/>
    <w:rsid w:val="00E9390C"/>
    <w:rsid w:val="00E97197"/>
    <w:rsid w:val="00E97A26"/>
    <w:rsid w:val="00E97DD0"/>
    <w:rsid w:val="00EA44B1"/>
    <w:rsid w:val="00EB0135"/>
    <w:rsid w:val="00EC0420"/>
    <w:rsid w:val="00EC3543"/>
    <w:rsid w:val="00ED0B41"/>
    <w:rsid w:val="00ED6F6B"/>
    <w:rsid w:val="00ED78A8"/>
    <w:rsid w:val="00F043D9"/>
    <w:rsid w:val="00F0558F"/>
    <w:rsid w:val="00F127A1"/>
    <w:rsid w:val="00F15C02"/>
    <w:rsid w:val="00F16D79"/>
    <w:rsid w:val="00F2068E"/>
    <w:rsid w:val="00F24750"/>
    <w:rsid w:val="00F265C8"/>
    <w:rsid w:val="00F301A1"/>
    <w:rsid w:val="00F30409"/>
    <w:rsid w:val="00F30EE4"/>
    <w:rsid w:val="00F31DB1"/>
    <w:rsid w:val="00F348E6"/>
    <w:rsid w:val="00F367EA"/>
    <w:rsid w:val="00F37074"/>
    <w:rsid w:val="00F42145"/>
    <w:rsid w:val="00F4533E"/>
    <w:rsid w:val="00F45AEE"/>
    <w:rsid w:val="00F51C49"/>
    <w:rsid w:val="00F55B30"/>
    <w:rsid w:val="00F569C7"/>
    <w:rsid w:val="00F56B1A"/>
    <w:rsid w:val="00F56B64"/>
    <w:rsid w:val="00F6151F"/>
    <w:rsid w:val="00F628BA"/>
    <w:rsid w:val="00F6307E"/>
    <w:rsid w:val="00F67484"/>
    <w:rsid w:val="00F67B1B"/>
    <w:rsid w:val="00F708F4"/>
    <w:rsid w:val="00F73560"/>
    <w:rsid w:val="00F750A8"/>
    <w:rsid w:val="00F8097F"/>
    <w:rsid w:val="00F80BF3"/>
    <w:rsid w:val="00F852AC"/>
    <w:rsid w:val="00F85E04"/>
    <w:rsid w:val="00F87770"/>
    <w:rsid w:val="00F93CE6"/>
    <w:rsid w:val="00F9644F"/>
    <w:rsid w:val="00F96EA5"/>
    <w:rsid w:val="00FA2DEF"/>
    <w:rsid w:val="00FA5B85"/>
    <w:rsid w:val="00FA63B9"/>
    <w:rsid w:val="00FB23DF"/>
    <w:rsid w:val="00FB7CB6"/>
    <w:rsid w:val="00FC160E"/>
    <w:rsid w:val="00FC38D6"/>
    <w:rsid w:val="00FD2371"/>
    <w:rsid w:val="00FD4C97"/>
    <w:rsid w:val="00FD5441"/>
    <w:rsid w:val="00FD6182"/>
    <w:rsid w:val="00FE4D19"/>
    <w:rsid w:val="00FF1D50"/>
    <w:rsid w:val="00FF2CBB"/>
    <w:rsid w:val="00FF410E"/>
    <w:rsid w:val="00FF4792"/>
    <w:rsid w:val="00FF719C"/>
    <w:rsid w:val="00FF746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7EFD9"/>
  <w15:docId w15:val="{76011B60-1627-460A-ACD3-0DAAA5CF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DA"/>
    <w:rPr>
      <w:sz w:val="22"/>
      <w:szCs w:val="24"/>
      <w:lang w:val="en-GB"/>
    </w:rPr>
  </w:style>
  <w:style w:type="paragraph" w:styleId="Titre1">
    <w:name w:val="heading 1"/>
    <w:basedOn w:val="Normal"/>
    <w:next w:val="Normal"/>
    <w:link w:val="Titre1Car"/>
    <w:uiPriority w:val="99"/>
    <w:qFormat/>
    <w:rsid w:val="00316A02"/>
    <w:pPr>
      <w:keepNext/>
      <w:spacing w:line="300" w:lineRule="atLeast"/>
      <w:jc w:val="center"/>
      <w:outlineLvl w:val="0"/>
    </w:pPr>
    <w:rPr>
      <w:rFonts w:ascii="CG Times (PCL6)" w:hAnsi="CG Times (PCL6)"/>
      <w:b/>
      <w:bCs/>
      <w:szCs w:val="22"/>
    </w:rPr>
  </w:style>
  <w:style w:type="paragraph" w:styleId="Titre2">
    <w:name w:val="heading 2"/>
    <w:basedOn w:val="Normal"/>
    <w:next w:val="Normal"/>
    <w:link w:val="Titre2Car"/>
    <w:semiHidden/>
    <w:unhideWhenUsed/>
    <w:qFormat/>
    <w:locked/>
    <w:rsid w:val="00526B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9"/>
    <w:qFormat/>
    <w:rsid w:val="00316A02"/>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7314"/>
    <w:rPr>
      <w:rFonts w:ascii="Cambria" w:eastAsia="SimSun" w:hAnsi="Cambria" w:cs="Times New Roman"/>
      <w:b/>
      <w:bCs/>
      <w:kern w:val="32"/>
      <w:sz w:val="32"/>
      <w:szCs w:val="32"/>
      <w:lang w:val="en-GB" w:eastAsia="fr-FR"/>
    </w:rPr>
  </w:style>
  <w:style w:type="character" w:customStyle="1" w:styleId="Titre3Car">
    <w:name w:val="Titre 3 Car"/>
    <w:basedOn w:val="Policepardfaut"/>
    <w:link w:val="Titre3"/>
    <w:uiPriority w:val="9"/>
    <w:semiHidden/>
    <w:rsid w:val="00267314"/>
    <w:rPr>
      <w:rFonts w:ascii="Cambria" w:eastAsia="SimSun" w:hAnsi="Cambria" w:cs="Times New Roman"/>
      <w:b/>
      <w:bCs/>
      <w:sz w:val="26"/>
      <w:szCs w:val="26"/>
      <w:lang w:val="en-GB" w:eastAsia="fr-FR"/>
    </w:rPr>
  </w:style>
  <w:style w:type="character" w:styleId="Lienhypertexte">
    <w:name w:val="Hyperlink"/>
    <w:basedOn w:val="Policepardfaut"/>
    <w:uiPriority w:val="99"/>
    <w:rsid w:val="00316A02"/>
    <w:rPr>
      <w:rFonts w:cs="Times New Roman"/>
      <w:color w:val="0000FF"/>
      <w:u w:val="single"/>
    </w:rPr>
  </w:style>
  <w:style w:type="paragraph" w:styleId="En-tte">
    <w:name w:val="header"/>
    <w:basedOn w:val="Normal"/>
    <w:link w:val="En-tteCar"/>
    <w:uiPriority w:val="99"/>
    <w:rsid w:val="00316A02"/>
    <w:pPr>
      <w:tabs>
        <w:tab w:val="center" w:pos="4536"/>
        <w:tab w:val="right" w:pos="9072"/>
      </w:tabs>
    </w:pPr>
    <w:rPr>
      <w:sz w:val="20"/>
      <w:szCs w:val="20"/>
    </w:rPr>
  </w:style>
  <w:style w:type="character" w:customStyle="1" w:styleId="En-tteCar">
    <w:name w:val="En-tête Car"/>
    <w:basedOn w:val="Policepardfaut"/>
    <w:link w:val="En-tte"/>
    <w:uiPriority w:val="99"/>
    <w:rsid w:val="00267314"/>
    <w:rPr>
      <w:sz w:val="24"/>
      <w:szCs w:val="24"/>
      <w:lang w:val="en-GB" w:eastAsia="fr-FR"/>
    </w:rPr>
  </w:style>
  <w:style w:type="paragraph" w:styleId="Pieddepage">
    <w:name w:val="footer"/>
    <w:basedOn w:val="Normal"/>
    <w:link w:val="PieddepageCar"/>
    <w:uiPriority w:val="99"/>
    <w:rsid w:val="00316A02"/>
    <w:pPr>
      <w:tabs>
        <w:tab w:val="center" w:pos="4536"/>
        <w:tab w:val="right" w:pos="9072"/>
      </w:tabs>
    </w:pPr>
  </w:style>
  <w:style w:type="character" w:customStyle="1" w:styleId="PieddepageCar">
    <w:name w:val="Pied de page Car"/>
    <w:basedOn w:val="Policepardfaut"/>
    <w:link w:val="Pieddepage"/>
    <w:uiPriority w:val="99"/>
    <w:semiHidden/>
    <w:rsid w:val="00267314"/>
    <w:rPr>
      <w:sz w:val="24"/>
      <w:szCs w:val="24"/>
      <w:lang w:val="en-GB" w:eastAsia="fr-FR"/>
    </w:rPr>
  </w:style>
  <w:style w:type="character" w:styleId="Lienhypertextesuivivisit">
    <w:name w:val="FollowedHyperlink"/>
    <w:basedOn w:val="Policepardfaut"/>
    <w:uiPriority w:val="99"/>
    <w:rsid w:val="00316A02"/>
    <w:rPr>
      <w:rFonts w:cs="Times New Roman"/>
      <w:color w:val="800080"/>
      <w:u w:val="single"/>
    </w:rPr>
  </w:style>
  <w:style w:type="paragraph" w:styleId="Corpsdetexte">
    <w:name w:val="Body Text"/>
    <w:basedOn w:val="Normal"/>
    <w:link w:val="CorpsdetexteCar"/>
    <w:uiPriority w:val="99"/>
    <w:rsid w:val="00316A02"/>
    <w:pPr>
      <w:jc w:val="both"/>
    </w:pPr>
    <w:rPr>
      <w:rFonts w:ascii="Arial Narrow" w:hAnsi="Arial Narrow"/>
      <w:szCs w:val="22"/>
    </w:rPr>
  </w:style>
  <w:style w:type="character" w:customStyle="1" w:styleId="CorpsdetexteCar">
    <w:name w:val="Corps de texte Car"/>
    <w:basedOn w:val="Policepardfaut"/>
    <w:link w:val="Corpsdetexte"/>
    <w:uiPriority w:val="99"/>
    <w:semiHidden/>
    <w:rsid w:val="00267314"/>
    <w:rPr>
      <w:sz w:val="24"/>
      <w:szCs w:val="24"/>
      <w:lang w:val="en-GB" w:eastAsia="fr-FR"/>
    </w:rPr>
  </w:style>
  <w:style w:type="paragraph" w:styleId="Retraitcorpsdetexte">
    <w:name w:val="Body Text Indent"/>
    <w:basedOn w:val="Normal"/>
    <w:link w:val="RetraitcorpsdetexteCar"/>
    <w:uiPriority w:val="99"/>
    <w:rsid w:val="00316A02"/>
    <w:pPr>
      <w:spacing w:after="120"/>
      <w:ind w:left="283"/>
    </w:pPr>
  </w:style>
  <w:style w:type="character" w:customStyle="1" w:styleId="RetraitcorpsdetexteCar">
    <w:name w:val="Retrait corps de texte Car"/>
    <w:basedOn w:val="Policepardfaut"/>
    <w:link w:val="Retraitcorpsdetexte"/>
    <w:uiPriority w:val="99"/>
    <w:semiHidden/>
    <w:rsid w:val="00267314"/>
    <w:rPr>
      <w:sz w:val="24"/>
      <w:szCs w:val="24"/>
      <w:lang w:val="en-GB" w:eastAsia="fr-FR"/>
    </w:rPr>
  </w:style>
  <w:style w:type="paragraph" w:styleId="Corpsdetexte3">
    <w:name w:val="Body Text 3"/>
    <w:basedOn w:val="Normal"/>
    <w:link w:val="Corpsdetexte3Car"/>
    <w:uiPriority w:val="99"/>
    <w:rsid w:val="00316A02"/>
    <w:pPr>
      <w:spacing w:after="120"/>
    </w:pPr>
    <w:rPr>
      <w:sz w:val="16"/>
      <w:szCs w:val="16"/>
    </w:rPr>
  </w:style>
  <w:style w:type="character" w:customStyle="1" w:styleId="Corpsdetexte3Car">
    <w:name w:val="Corps de texte 3 Car"/>
    <w:basedOn w:val="Policepardfaut"/>
    <w:link w:val="Corpsdetexte3"/>
    <w:uiPriority w:val="99"/>
    <w:semiHidden/>
    <w:rsid w:val="00267314"/>
    <w:rPr>
      <w:sz w:val="16"/>
      <w:szCs w:val="16"/>
      <w:lang w:val="en-GB" w:eastAsia="fr-FR"/>
    </w:rPr>
  </w:style>
  <w:style w:type="paragraph" w:customStyle="1" w:styleId="Bulleted">
    <w:name w:val="Bulleted"/>
    <w:basedOn w:val="Normal"/>
    <w:autoRedefine/>
    <w:uiPriority w:val="99"/>
    <w:rsid w:val="00316A02"/>
    <w:pPr>
      <w:numPr>
        <w:numId w:val="1"/>
      </w:numPr>
      <w:spacing w:after="60"/>
      <w:jc w:val="both"/>
    </w:pPr>
    <w:rPr>
      <w:rFonts w:ascii="LucidaT" w:hAnsi="LucidaT"/>
      <w:sz w:val="20"/>
      <w:szCs w:val="20"/>
      <w:lang w:val="fr-FR"/>
    </w:rPr>
  </w:style>
  <w:style w:type="paragraph" w:styleId="NormalWeb">
    <w:name w:val="Normal (Web)"/>
    <w:basedOn w:val="Normal"/>
    <w:uiPriority w:val="99"/>
    <w:rsid w:val="00316A02"/>
    <w:pPr>
      <w:spacing w:before="150" w:line="348" w:lineRule="auto"/>
    </w:pPr>
    <w:rPr>
      <w:lang w:val="fr-FR"/>
    </w:rPr>
  </w:style>
  <w:style w:type="paragraph" w:styleId="Notedebasdepage">
    <w:name w:val="footnote text"/>
    <w:basedOn w:val="Normal"/>
    <w:link w:val="NotedebasdepageCar"/>
    <w:uiPriority w:val="99"/>
    <w:semiHidden/>
    <w:rsid w:val="00D556E9"/>
    <w:rPr>
      <w:sz w:val="20"/>
      <w:szCs w:val="20"/>
    </w:rPr>
  </w:style>
  <w:style w:type="character" w:customStyle="1" w:styleId="NotedebasdepageCar">
    <w:name w:val="Note de bas de page Car"/>
    <w:basedOn w:val="Policepardfaut"/>
    <w:link w:val="Notedebasdepage"/>
    <w:uiPriority w:val="99"/>
    <w:semiHidden/>
    <w:rsid w:val="00267314"/>
    <w:rPr>
      <w:sz w:val="20"/>
      <w:szCs w:val="20"/>
      <w:lang w:val="en-GB" w:eastAsia="fr-FR"/>
    </w:rPr>
  </w:style>
  <w:style w:type="character" w:styleId="Appelnotedebasdep">
    <w:name w:val="footnote reference"/>
    <w:basedOn w:val="Policepardfaut"/>
    <w:uiPriority w:val="99"/>
    <w:semiHidden/>
    <w:rsid w:val="00D556E9"/>
    <w:rPr>
      <w:rFonts w:cs="Times New Roman"/>
      <w:vertAlign w:val="superscript"/>
    </w:rPr>
  </w:style>
  <w:style w:type="paragraph" w:customStyle="1" w:styleId="Default">
    <w:name w:val="Default"/>
    <w:rsid w:val="00C24EB3"/>
    <w:pPr>
      <w:autoSpaceDE w:val="0"/>
      <w:autoSpaceDN w:val="0"/>
      <w:adjustRightInd w:val="0"/>
    </w:pPr>
    <w:rPr>
      <w:color w:val="000000"/>
      <w:sz w:val="24"/>
      <w:szCs w:val="24"/>
    </w:rPr>
  </w:style>
  <w:style w:type="character" w:styleId="Marquedecommentaire">
    <w:name w:val="annotation reference"/>
    <w:basedOn w:val="Policepardfaut"/>
    <w:uiPriority w:val="99"/>
    <w:rsid w:val="00E8261E"/>
    <w:rPr>
      <w:rFonts w:cs="Times New Roman"/>
      <w:sz w:val="16"/>
      <w:szCs w:val="16"/>
    </w:rPr>
  </w:style>
  <w:style w:type="paragraph" w:styleId="Commentaire">
    <w:name w:val="annotation text"/>
    <w:basedOn w:val="Normal"/>
    <w:link w:val="CommentaireCar"/>
    <w:uiPriority w:val="99"/>
    <w:rsid w:val="00E8261E"/>
    <w:rPr>
      <w:sz w:val="20"/>
      <w:szCs w:val="20"/>
    </w:rPr>
  </w:style>
  <w:style w:type="character" w:customStyle="1" w:styleId="CommentaireCar">
    <w:name w:val="Commentaire Car"/>
    <w:basedOn w:val="Policepardfaut"/>
    <w:link w:val="Commentaire"/>
    <w:uiPriority w:val="99"/>
    <w:locked/>
    <w:rsid w:val="00E8261E"/>
    <w:rPr>
      <w:rFonts w:cs="Times New Roman"/>
      <w:lang w:val="en-GB" w:eastAsia="fr-FR"/>
    </w:rPr>
  </w:style>
  <w:style w:type="paragraph" w:styleId="Objetducommentaire">
    <w:name w:val="annotation subject"/>
    <w:basedOn w:val="Commentaire"/>
    <w:next w:val="Commentaire"/>
    <w:link w:val="ObjetducommentaireCar"/>
    <w:uiPriority w:val="99"/>
    <w:rsid w:val="00E8261E"/>
    <w:rPr>
      <w:b/>
      <w:bCs/>
    </w:rPr>
  </w:style>
  <w:style w:type="character" w:customStyle="1" w:styleId="ObjetducommentaireCar">
    <w:name w:val="Objet du commentaire Car"/>
    <w:basedOn w:val="CommentaireCar"/>
    <w:link w:val="Objetducommentaire"/>
    <w:uiPriority w:val="99"/>
    <w:locked/>
    <w:rsid w:val="00E8261E"/>
    <w:rPr>
      <w:rFonts w:cs="Times New Roman"/>
      <w:b/>
      <w:bCs/>
      <w:lang w:val="en-GB" w:eastAsia="fr-FR"/>
    </w:rPr>
  </w:style>
  <w:style w:type="paragraph" w:styleId="Textedebulles">
    <w:name w:val="Balloon Text"/>
    <w:basedOn w:val="Normal"/>
    <w:link w:val="TextedebullesCar"/>
    <w:uiPriority w:val="99"/>
    <w:rsid w:val="00E8261E"/>
    <w:rPr>
      <w:rFonts w:ascii="Tahoma" w:hAnsi="Tahoma" w:cs="Tahoma"/>
      <w:sz w:val="16"/>
      <w:szCs w:val="16"/>
    </w:rPr>
  </w:style>
  <w:style w:type="character" w:customStyle="1" w:styleId="TextedebullesCar">
    <w:name w:val="Texte de bulles Car"/>
    <w:basedOn w:val="Policepardfaut"/>
    <w:link w:val="Textedebulles"/>
    <w:uiPriority w:val="99"/>
    <w:locked/>
    <w:rsid w:val="00E8261E"/>
    <w:rPr>
      <w:rFonts w:ascii="Tahoma" w:hAnsi="Tahoma" w:cs="Tahoma"/>
      <w:sz w:val="16"/>
      <w:szCs w:val="16"/>
      <w:lang w:val="en-GB" w:eastAsia="fr-FR"/>
    </w:rPr>
  </w:style>
  <w:style w:type="table" w:styleId="Grilledutableau">
    <w:name w:val="Table Grid"/>
    <w:basedOn w:val="TableauNormal"/>
    <w:uiPriority w:val="99"/>
    <w:rsid w:val="002417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
    <w:name w:val="Pa1"/>
    <w:basedOn w:val="Default"/>
    <w:next w:val="Default"/>
    <w:uiPriority w:val="99"/>
    <w:rsid w:val="00A96B25"/>
    <w:pPr>
      <w:spacing w:line="241" w:lineRule="atLeast"/>
    </w:pPr>
    <w:rPr>
      <w:rFonts w:ascii="RotisSemiSans" w:hAnsi="RotisSemiSans"/>
      <w:color w:val="auto"/>
    </w:rPr>
  </w:style>
  <w:style w:type="character" w:customStyle="1" w:styleId="A5">
    <w:name w:val="A5"/>
    <w:uiPriority w:val="99"/>
    <w:rsid w:val="00A96B25"/>
    <w:rPr>
      <w:rFonts w:cs="RotisSemiSans"/>
      <w:color w:val="221E1F"/>
      <w:sz w:val="23"/>
      <w:szCs w:val="23"/>
    </w:rPr>
  </w:style>
  <w:style w:type="paragraph" w:customStyle="1" w:styleId="Pa3">
    <w:name w:val="Pa3"/>
    <w:basedOn w:val="Default"/>
    <w:next w:val="Default"/>
    <w:uiPriority w:val="99"/>
    <w:rsid w:val="00965DA8"/>
    <w:pPr>
      <w:spacing w:line="241" w:lineRule="atLeast"/>
    </w:pPr>
    <w:rPr>
      <w:rFonts w:ascii="RotisSemiSans" w:hAnsi="RotisSemiSans"/>
      <w:color w:val="auto"/>
    </w:rPr>
  </w:style>
  <w:style w:type="paragraph" w:styleId="Paragraphedeliste">
    <w:name w:val="List Paragraph"/>
    <w:basedOn w:val="Normal"/>
    <w:link w:val="ParagraphedelisteCar"/>
    <w:uiPriority w:val="34"/>
    <w:qFormat/>
    <w:rsid w:val="00DA4522"/>
    <w:pPr>
      <w:ind w:left="720"/>
      <w:contextualSpacing/>
    </w:pPr>
  </w:style>
  <w:style w:type="paragraph" w:customStyle="1" w:styleId="Body">
    <w:name w:val="Body"/>
    <w:rsid w:val="00280127"/>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character" w:customStyle="1" w:styleId="ParagraphedelisteCar">
    <w:name w:val="Paragraphe de liste Car"/>
    <w:basedOn w:val="Policepardfaut"/>
    <w:link w:val="Paragraphedeliste"/>
    <w:uiPriority w:val="34"/>
    <w:locked/>
    <w:rsid w:val="00BD15F3"/>
    <w:rPr>
      <w:sz w:val="24"/>
      <w:szCs w:val="24"/>
      <w:lang w:val="en-GB"/>
    </w:rPr>
  </w:style>
  <w:style w:type="character" w:styleId="lev">
    <w:name w:val="Strong"/>
    <w:basedOn w:val="Policepardfaut"/>
    <w:uiPriority w:val="22"/>
    <w:qFormat/>
    <w:locked/>
    <w:rsid w:val="00B41979"/>
    <w:rPr>
      <w:b/>
      <w:bCs/>
    </w:rPr>
  </w:style>
  <w:style w:type="paragraph" w:styleId="PrformatHTML">
    <w:name w:val="HTML Preformatted"/>
    <w:basedOn w:val="Normal"/>
    <w:link w:val="PrformatHTMLCar"/>
    <w:uiPriority w:val="99"/>
    <w:semiHidden/>
    <w:unhideWhenUsed/>
    <w:rsid w:val="00B4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character" w:customStyle="1" w:styleId="PrformatHTMLCar">
    <w:name w:val="Préformaté HTML Car"/>
    <w:basedOn w:val="Policepardfaut"/>
    <w:link w:val="PrformatHTML"/>
    <w:uiPriority w:val="99"/>
    <w:semiHidden/>
    <w:rsid w:val="00B41979"/>
    <w:rPr>
      <w:rFonts w:ascii="Courier New" w:hAnsi="Courier New" w:cs="Courier New"/>
    </w:rPr>
  </w:style>
  <w:style w:type="paragraph" w:customStyle="1" w:styleId="Disclaimer">
    <w:name w:val="Disclaimer"/>
    <w:basedOn w:val="Normal"/>
    <w:qFormat/>
    <w:rsid w:val="00B956F4"/>
    <w:pPr>
      <w:spacing w:line="168" w:lineRule="exact"/>
    </w:pPr>
    <w:rPr>
      <w:rFonts w:ascii="Legacy Serif ITC Pro Book" w:eastAsiaTheme="minorHAnsi" w:hAnsi="Legacy Serif ITC Pro Book" w:cstheme="minorBidi"/>
      <w:sz w:val="14"/>
      <w:szCs w:val="20"/>
      <w:lang w:val="fr-CH" w:eastAsia="en-US"/>
    </w:rPr>
  </w:style>
  <w:style w:type="paragraph" w:customStyle="1" w:styleId="SLArialRegular11pt18pt">
    <w:name w:val="SL Arial Regular 11pt/18pt"/>
    <w:rsid w:val="00B956F4"/>
    <w:pPr>
      <w:spacing w:line="360" w:lineRule="exact"/>
    </w:pPr>
    <w:rPr>
      <w:rFonts w:ascii="Arial" w:hAnsi="Arial"/>
      <w:bCs/>
      <w:sz w:val="22"/>
      <w:szCs w:val="22"/>
      <w:lang w:val="fr-CH" w:eastAsia="de-DE"/>
    </w:rPr>
  </w:style>
  <w:style w:type="character" w:customStyle="1" w:styleId="Titre2Car">
    <w:name w:val="Titre 2 Car"/>
    <w:basedOn w:val="Policepardfaut"/>
    <w:link w:val="Titre2"/>
    <w:semiHidden/>
    <w:rsid w:val="00526B08"/>
    <w:rPr>
      <w:rFonts w:asciiTheme="majorHAnsi" w:eastAsiaTheme="majorEastAsia" w:hAnsiTheme="majorHAnsi" w:cstheme="majorBidi"/>
      <w:color w:val="365F91" w:themeColor="accent1" w:themeShade="BF"/>
      <w:sz w:val="26"/>
      <w:szCs w:val="26"/>
      <w:lang w:val="en-GB"/>
    </w:rPr>
  </w:style>
  <w:style w:type="character" w:customStyle="1" w:styleId="UnresolvedMention">
    <w:name w:val="Unresolved Mention"/>
    <w:basedOn w:val="Policepardfaut"/>
    <w:uiPriority w:val="99"/>
    <w:semiHidden/>
    <w:unhideWhenUsed/>
    <w:rsid w:val="0091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5289">
      <w:bodyDiv w:val="1"/>
      <w:marLeft w:val="0"/>
      <w:marRight w:val="0"/>
      <w:marTop w:val="0"/>
      <w:marBottom w:val="0"/>
      <w:divBdr>
        <w:top w:val="none" w:sz="0" w:space="0" w:color="auto"/>
        <w:left w:val="none" w:sz="0" w:space="0" w:color="auto"/>
        <w:bottom w:val="none" w:sz="0" w:space="0" w:color="auto"/>
        <w:right w:val="none" w:sz="0" w:space="0" w:color="auto"/>
      </w:divBdr>
    </w:div>
    <w:div w:id="249774255">
      <w:bodyDiv w:val="1"/>
      <w:marLeft w:val="0"/>
      <w:marRight w:val="0"/>
      <w:marTop w:val="0"/>
      <w:marBottom w:val="0"/>
      <w:divBdr>
        <w:top w:val="none" w:sz="0" w:space="0" w:color="auto"/>
        <w:left w:val="none" w:sz="0" w:space="0" w:color="auto"/>
        <w:bottom w:val="none" w:sz="0" w:space="0" w:color="auto"/>
        <w:right w:val="none" w:sz="0" w:space="0" w:color="auto"/>
      </w:divBdr>
    </w:div>
    <w:div w:id="378015202">
      <w:bodyDiv w:val="1"/>
      <w:marLeft w:val="0"/>
      <w:marRight w:val="0"/>
      <w:marTop w:val="0"/>
      <w:marBottom w:val="0"/>
      <w:divBdr>
        <w:top w:val="none" w:sz="0" w:space="0" w:color="auto"/>
        <w:left w:val="none" w:sz="0" w:space="0" w:color="auto"/>
        <w:bottom w:val="none" w:sz="0" w:space="0" w:color="auto"/>
        <w:right w:val="none" w:sz="0" w:space="0" w:color="auto"/>
      </w:divBdr>
    </w:div>
    <w:div w:id="463238296">
      <w:bodyDiv w:val="1"/>
      <w:marLeft w:val="0"/>
      <w:marRight w:val="0"/>
      <w:marTop w:val="0"/>
      <w:marBottom w:val="0"/>
      <w:divBdr>
        <w:top w:val="none" w:sz="0" w:space="0" w:color="auto"/>
        <w:left w:val="none" w:sz="0" w:space="0" w:color="auto"/>
        <w:bottom w:val="none" w:sz="0" w:space="0" w:color="auto"/>
        <w:right w:val="none" w:sz="0" w:space="0" w:color="auto"/>
      </w:divBdr>
    </w:div>
    <w:div w:id="844513496">
      <w:bodyDiv w:val="1"/>
      <w:marLeft w:val="0"/>
      <w:marRight w:val="0"/>
      <w:marTop w:val="0"/>
      <w:marBottom w:val="0"/>
      <w:divBdr>
        <w:top w:val="none" w:sz="0" w:space="0" w:color="auto"/>
        <w:left w:val="none" w:sz="0" w:space="0" w:color="auto"/>
        <w:bottom w:val="none" w:sz="0" w:space="0" w:color="auto"/>
        <w:right w:val="none" w:sz="0" w:space="0" w:color="auto"/>
      </w:divBdr>
    </w:div>
    <w:div w:id="956989051">
      <w:bodyDiv w:val="1"/>
      <w:marLeft w:val="0"/>
      <w:marRight w:val="0"/>
      <w:marTop w:val="0"/>
      <w:marBottom w:val="0"/>
      <w:divBdr>
        <w:top w:val="none" w:sz="0" w:space="0" w:color="auto"/>
        <w:left w:val="none" w:sz="0" w:space="0" w:color="auto"/>
        <w:bottom w:val="none" w:sz="0" w:space="0" w:color="auto"/>
        <w:right w:val="none" w:sz="0" w:space="0" w:color="auto"/>
      </w:divBdr>
    </w:div>
    <w:div w:id="978926033">
      <w:bodyDiv w:val="1"/>
      <w:marLeft w:val="0"/>
      <w:marRight w:val="0"/>
      <w:marTop w:val="0"/>
      <w:marBottom w:val="0"/>
      <w:divBdr>
        <w:top w:val="none" w:sz="0" w:space="0" w:color="auto"/>
        <w:left w:val="none" w:sz="0" w:space="0" w:color="auto"/>
        <w:bottom w:val="none" w:sz="0" w:space="0" w:color="auto"/>
        <w:right w:val="none" w:sz="0" w:space="0" w:color="auto"/>
      </w:divBdr>
    </w:div>
    <w:div w:id="1012612705">
      <w:bodyDiv w:val="1"/>
      <w:marLeft w:val="0"/>
      <w:marRight w:val="0"/>
      <w:marTop w:val="0"/>
      <w:marBottom w:val="0"/>
      <w:divBdr>
        <w:top w:val="none" w:sz="0" w:space="0" w:color="auto"/>
        <w:left w:val="none" w:sz="0" w:space="0" w:color="auto"/>
        <w:bottom w:val="none" w:sz="0" w:space="0" w:color="auto"/>
        <w:right w:val="none" w:sz="0" w:space="0" w:color="auto"/>
      </w:divBdr>
    </w:div>
    <w:div w:id="1196041588">
      <w:marLeft w:val="0"/>
      <w:marRight w:val="0"/>
      <w:marTop w:val="0"/>
      <w:marBottom w:val="0"/>
      <w:divBdr>
        <w:top w:val="none" w:sz="0" w:space="0" w:color="auto"/>
        <w:left w:val="none" w:sz="0" w:space="0" w:color="auto"/>
        <w:bottom w:val="none" w:sz="0" w:space="0" w:color="auto"/>
        <w:right w:val="none" w:sz="0" w:space="0" w:color="auto"/>
      </w:divBdr>
      <w:divsChild>
        <w:div w:id="1196041638">
          <w:marLeft w:val="0"/>
          <w:marRight w:val="0"/>
          <w:marTop w:val="0"/>
          <w:marBottom w:val="0"/>
          <w:divBdr>
            <w:top w:val="none" w:sz="0" w:space="0" w:color="auto"/>
            <w:left w:val="none" w:sz="0" w:space="0" w:color="auto"/>
            <w:bottom w:val="none" w:sz="0" w:space="0" w:color="auto"/>
            <w:right w:val="none" w:sz="0" w:space="0" w:color="auto"/>
          </w:divBdr>
        </w:div>
      </w:divsChild>
    </w:div>
    <w:div w:id="1196041589">
      <w:marLeft w:val="0"/>
      <w:marRight w:val="0"/>
      <w:marTop w:val="0"/>
      <w:marBottom w:val="0"/>
      <w:divBdr>
        <w:top w:val="none" w:sz="0" w:space="0" w:color="auto"/>
        <w:left w:val="none" w:sz="0" w:space="0" w:color="auto"/>
        <w:bottom w:val="none" w:sz="0" w:space="0" w:color="auto"/>
        <w:right w:val="none" w:sz="0" w:space="0" w:color="auto"/>
      </w:divBdr>
      <w:divsChild>
        <w:div w:id="1196041603">
          <w:marLeft w:val="0"/>
          <w:marRight w:val="0"/>
          <w:marTop w:val="0"/>
          <w:marBottom w:val="0"/>
          <w:divBdr>
            <w:top w:val="none" w:sz="0" w:space="0" w:color="auto"/>
            <w:left w:val="none" w:sz="0" w:space="0" w:color="auto"/>
            <w:bottom w:val="none" w:sz="0" w:space="0" w:color="auto"/>
            <w:right w:val="none" w:sz="0" w:space="0" w:color="auto"/>
          </w:divBdr>
          <w:divsChild>
            <w:div w:id="1196041586">
              <w:marLeft w:val="0"/>
              <w:marRight w:val="0"/>
              <w:marTop w:val="0"/>
              <w:marBottom w:val="0"/>
              <w:divBdr>
                <w:top w:val="none" w:sz="0" w:space="0" w:color="auto"/>
                <w:left w:val="none" w:sz="0" w:space="0" w:color="auto"/>
                <w:bottom w:val="none" w:sz="0" w:space="0" w:color="auto"/>
                <w:right w:val="none" w:sz="0" w:space="0" w:color="auto"/>
              </w:divBdr>
            </w:div>
            <w:div w:id="1196041606">
              <w:marLeft w:val="0"/>
              <w:marRight w:val="0"/>
              <w:marTop w:val="0"/>
              <w:marBottom w:val="0"/>
              <w:divBdr>
                <w:top w:val="none" w:sz="0" w:space="0" w:color="auto"/>
                <w:left w:val="none" w:sz="0" w:space="0" w:color="auto"/>
                <w:bottom w:val="none" w:sz="0" w:space="0" w:color="auto"/>
                <w:right w:val="none" w:sz="0" w:space="0" w:color="auto"/>
              </w:divBdr>
            </w:div>
            <w:div w:id="11960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591">
      <w:marLeft w:val="0"/>
      <w:marRight w:val="0"/>
      <w:marTop w:val="0"/>
      <w:marBottom w:val="0"/>
      <w:divBdr>
        <w:top w:val="none" w:sz="0" w:space="0" w:color="auto"/>
        <w:left w:val="none" w:sz="0" w:space="0" w:color="auto"/>
        <w:bottom w:val="none" w:sz="0" w:space="0" w:color="auto"/>
        <w:right w:val="none" w:sz="0" w:space="0" w:color="auto"/>
      </w:divBdr>
      <w:divsChild>
        <w:div w:id="1196041640">
          <w:marLeft w:val="0"/>
          <w:marRight w:val="0"/>
          <w:marTop w:val="0"/>
          <w:marBottom w:val="0"/>
          <w:divBdr>
            <w:top w:val="none" w:sz="0" w:space="0" w:color="auto"/>
            <w:left w:val="none" w:sz="0" w:space="0" w:color="auto"/>
            <w:bottom w:val="none" w:sz="0" w:space="0" w:color="auto"/>
            <w:right w:val="none" w:sz="0" w:space="0" w:color="auto"/>
          </w:divBdr>
          <w:divsChild>
            <w:div w:id="11960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597">
      <w:marLeft w:val="0"/>
      <w:marRight w:val="0"/>
      <w:marTop w:val="0"/>
      <w:marBottom w:val="0"/>
      <w:divBdr>
        <w:top w:val="none" w:sz="0" w:space="0" w:color="auto"/>
        <w:left w:val="none" w:sz="0" w:space="0" w:color="auto"/>
        <w:bottom w:val="none" w:sz="0" w:space="0" w:color="auto"/>
        <w:right w:val="none" w:sz="0" w:space="0" w:color="auto"/>
      </w:divBdr>
      <w:divsChild>
        <w:div w:id="1196041604">
          <w:marLeft w:val="0"/>
          <w:marRight w:val="0"/>
          <w:marTop w:val="0"/>
          <w:marBottom w:val="0"/>
          <w:divBdr>
            <w:top w:val="none" w:sz="0" w:space="0" w:color="auto"/>
            <w:left w:val="none" w:sz="0" w:space="0" w:color="auto"/>
            <w:bottom w:val="none" w:sz="0" w:space="0" w:color="auto"/>
            <w:right w:val="none" w:sz="0" w:space="0" w:color="auto"/>
          </w:divBdr>
        </w:div>
      </w:divsChild>
    </w:div>
    <w:div w:id="1196041601">
      <w:marLeft w:val="0"/>
      <w:marRight w:val="0"/>
      <w:marTop w:val="0"/>
      <w:marBottom w:val="0"/>
      <w:divBdr>
        <w:top w:val="none" w:sz="0" w:space="0" w:color="auto"/>
        <w:left w:val="none" w:sz="0" w:space="0" w:color="auto"/>
        <w:bottom w:val="none" w:sz="0" w:space="0" w:color="auto"/>
        <w:right w:val="none" w:sz="0" w:space="0" w:color="auto"/>
      </w:divBdr>
      <w:divsChild>
        <w:div w:id="1196041637">
          <w:marLeft w:val="0"/>
          <w:marRight w:val="0"/>
          <w:marTop w:val="0"/>
          <w:marBottom w:val="0"/>
          <w:divBdr>
            <w:top w:val="none" w:sz="0" w:space="0" w:color="auto"/>
            <w:left w:val="none" w:sz="0" w:space="0" w:color="auto"/>
            <w:bottom w:val="none" w:sz="0" w:space="0" w:color="auto"/>
            <w:right w:val="none" w:sz="0" w:space="0" w:color="auto"/>
          </w:divBdr>
        </w:div>
      </w:divsChild>
    </w:div>
    <w:div w:id="1196041612">
      <w:marLeft w:val="0"/>
      <w:marRight w:val="0"/>
      <w:marTop w:val="0"/>
      <w:marBottom w:val="0"/>
      <w:divBdr>
        <w:top w:val="none" w:sz="0" w:space="0" w:color="auto"/>
        <w:left w:val="none" w:sz="0" w:space="0" w:color="auto"/>
        <w:bottom w:val="none" w:sz="0" w:space="0" w:color="auto"/>
        <w:right w:val="none" w:sz="0" w:space="0" w:color="auto"/>
      </w:divBdr>
      <w:divsChild>
        <w:div w:id="1196041617">
          <w:marLeft w:val="0"/>
          <w:marRight w:val="0"/>
          <w:marTop w:val="0"/>
          <w:marBottom w:val="0"/>
          <w:divBdr>
            <w:top w:val="none" w:sz="0" w:space="0" w:color="auto"/>
            <w:left w:val="none" w:sz="0" w:space="0" w:color="auto"/>
            <w:bottom w:val="none" w:sz="0" w:space="0" w:color="auto"/>
            <w:right w:val="none" w:sz="0" w:space="0" w:color="auto"/>
          </w:divBdr>
        </w:div>
      </w:divsChild>
    </w:div>
    <w:div w:id="1196041616">
      <w:marLeft w:val="0"/>
      <w:marRight w:val="0"/>
      <w:marTop w:val="0"/>
      <w:marBottom w:val="0"/>
      <w:divBdr>
        <w:top w:val="none" w:sz="0" w:space="0" w:color="auto"/>
        <w:left w:val="none" w:sz="0" w:space="0" w:color="auto"/>
        <w:bottom w:val="none" w:sz="0" w:space="0" w:color="auto"/>
        <w:right w:val="none" w:sz="0" w:space="0" w:color="auto"/>
      </w:divBdr>
      <w:divsChild>
        <w:div w:id="1196041625">
          <w:marLeft w:val="0"/>
          <w:marRight w:val="0"/>
          <w:marTop w:val="0"/>
          <w:marBottom w:val="0"/>
          <w:divBdr>
            <w:top w:val="none" w:sz="0" w:space="0" w:color="auto"/>
            <w:left w:val="none" w:sz="0" w:space="0" w:color="auto"/>
            <w:bottom w:val="none" w:sz="0" w:space="0" w:color="auto"/>
            <w:right w:val="none" w:sz="0" w:space="0" w:color="auto"/>
          </w:divBdr>
        </w:div>
      </w:divsChild>
    </w:div>
    <w:div w:id="1196041621">
      <w:marLeft w:val="0"/>
      <w:marRight w:val="0"/>
      <w:marTop w:val="0"/>
      <w:marBottom w:val="0"/>
      <w:divBdr>
        <w:top w:val="none" w:sz="0" w:space="0" w:color="auto"/>
        <w:left w:val="none" w:sz="0" w:space="0" w:color="auto"/>
        <w:bottom w:val="none" w:sz="0" w:space="0" w:color="auto"/>
        <w:right w:val="none" w:sz="0" w:space="0" w:color="auto"/>
      </w:divBdr>
      <w:divsChild>
        <w:div w:id="1196041660">
          <w:marLeft w:val="0"/>
          <w:marRight w:val="0"/>
          <w:marTop w:val="0"/>
          <w:marBottom w:val="0"/>
          <w:divBdr>
            <w:top w:val="none" w:sz="0" w:space="0" w:color="auto"/>
            <w:left w:val="none" w:sz="0" w:space="0" w:color="auto"/>
            <w:bottom w:val="none" w:sz="0" w:space="0" w:color="auto"/>
            <w:right w:val="none" w:sz="0" w:space="0" w:color="auto"/>
          </w:divBdr>
          <w:divsChild>
            <w:div w:id="1196041596">
              <w:marLeft w:val="0"/>
              <w:marRight w:val="0"/>
              <w:marTop w:val="0"/>
              <w:marBottom w:val="0"/>
              <w:divBdr>
                <w:top w:val="none" w:sz="0" w:space="0" w:color="auto"/>
                <w:left w:val="none" w:sz="0" w:space="0" w:color="auto"/>
                <w:bottom w:val="none" w:sz="0" w:space="0" w:color="auto"/>
                <w:right w:val="none" w:sz="0" w:space="0" w:color="auto"/>
              </w:divBdr>
            </w:div>
            <w:div w:id="1196041611">
              <w:marLeft w:val="0"/>
              <w:marRight w:val="0"/>
              <w:marTop w:val="0"/>
              <w:marBottom w:val="0"/>
              <w:divBdr>
                <w:top w:val="none" w:sz="0" w:space="0" w:color="auto"/>
                <w:left w:val="none" w:sz="0" w:space="0" w:color="auto"/>
                <w:bottom w:val="none" w:sz="0" w:space="0" w:color="auto"/>
                <w:right w:val="none" w:sz="0" w:space="0" w:color="auto"/>
              </w:divBdr>
            </w:div>
            <w:div w:id="1196041626">
              <w:marLeft w:val="0"/>
              <w:marRight w:val="0"/>
              <w:marTop w:val="0"/>
              <w:marBottom w:val="0"/>
              <w:divBdr>
                <w:top w:val="none" w:sz="0" w:space="0" w:color="auto"/>
                <w:left w:val="none" w:sz="0" w:space="0" w:color="auto"/>
                <w:bottom w:val="none" w:sz="0" w:space="0" w:color="auto"/>
                <w:right w:val="none" w:sz="0" w:space="0" w:color="auto"/>
              </w:divBdr>
            </w:div>
            <w:div w:id="1196041642">
              <w:marLeft w:val="0"/>
              <w:marRight w:val="0"/>
              <w:marTop w:val="0"/>
              <w:marBottom w:val="0"/>
              <w:divBdr>
                <w:top w:val="none" w:sz="0" w:space="0" w:color="auto"/>
                <w:left w:val="none" w:sz="0" w:space="0" w:color="auto"/>
                <w:bottom w:val="none" w:sz="0" w:space="0" w:color="auto"/>
                <w:right w:val="none" w:sz="0" w:space="0" w:color="auto"/>
              </w:divBdr>
            </w:div>
            <w:div w:id="1196041648">
              <w:marLeft w:val="0"/>
              <w:marRight w:val="0"/>
              <w:marTop w:val="0"/>
              <w:marBottom w:val="0"/>
              <w:divBdr>
                <w:top w:val="none" w:sz="0" w:space="0" w:color="auto"/>
                <w:left w:val="none" w:sz="0" w:space="0" w:color="auto"/>
                <w:bottom w:val="none" w:sz="0" w:space="0" w:color="auto"/>
                <w:right w:val="none" w:sz="0" w:space="0" w:color="auto"/>
              </w:divBdr>
            </w:div>
            <w:div w:id="11960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22">
      <w:marLeft w:val="0"/>
      <w:marRight w:val="0"/>
      <w:marTop w:val="0"/>
      <w:marBottom w:val="0"/>
      <w:divBdr>
        <w:top w:val="none" w:sz="0" w:space="0" w:color="auto"/>
        <w:left w:val="none" w:sz="0" w:space="0" w:color="auto"/>
        <w:bottom w:val="none" w:sz="0" w:space="0" w:color="auto"/>
        <w:right w:val="none" w:sz="0" w:space="0" w:color="auto"/>
      </w:divBdr>
      <w:divsChild>
        <w:div w:id="1196041664">
          <w:marLeft w:val="0"/>
          <w:marRight w:val="0"/>
          <w:marTop w:val="0"/>
          <w:marBottom w:val="0"/>
          <w:divBdr>
            <w:top w:val="none" w:sz="0" w:space="0" w:color="auto"/>
            <w:left w:val="none" w:sz="0" w:space="0" w:color="auto"/>
            <w:bottom w:val="none" w:sz="0" w:space="0" w:color="auto"/>
            <w:right w:val="none" w:sz="0" w:space="0" w:color="auto"/>
          </w:divBdr>
          <w:divsChild>
            <w:div w:id="1196041599">
              <w:marLeft w:val="0"/>
              <w:marRight w:val="0"/>
              <w:marTop w:val="0"/>
              <w:marBottom w:val="0"/>
              <w:divBdr>
                <w:top w:val="none" w:sz="0" w:space="0" w:color="auto"/>
                <w:left w:val="none" w:sz="0" w:space="0" w:color="auto"/>
                <w:bottom w:val="none" w:sz="0" w:space="0" w:color="auto"/>
                <w:right w:val="none" w:sz="0" w:space="0" w:color="auto"/>
              </w:divBdr>
            </w:div>
            <w:div w:id="1196041629">
              <w:marLeft w:val="0"/>
              <w:marRight w:val="0"/>
              <w:marTop w:val="0"/>
              <w:marBottom w:val="0"/>
              <w:divBdr>
                <w:top w:val="none" w:sz="0" w:space="0" w:color="auto"/>
                <w:left w:val="none" w:sz="0" w:space="0" w:color="auto"/>
                <w:bottom w:val="none" w:sz="0" w:space="0" w:color="auto"/>
                <w:right w:val="none" w:sz="0" w:space="0" w:color="auto"/>
              </w:divBdr>
            </w:div>
            <w:div w:id="1196041633">
              <w:marLeft w:val="0"/>
              <w:marRight w:val="0"/>
              <w:marTop w:val="0"/>
              <w:marBottom w:val="0"/>
              <w:divBdr>
                <w:top w:val="none" w:sz="0" w:space="0" w:color="auto"/>
                <w:left w:val="none" w:sz="0" w:space="0" w:color="auto"/>
                <w:bottom w:val="none" w:sz="0" w:space="0" w:color="auto"/>
                <w:right w:val="none" w:sz="0" w:space="0" w:color="auto"/>
              </w:divBdr>
            </w:div>
            <w:div w:id="1196041639">
              <w:marLeft w:val="0"/>
              <w:marRight w:val="0"/>
              <w:marTop w:val="0"/>
              <w:marBottom w:val="0"/>
              <w:divBdr>
                <w:top w:val="none" w:sz="0" w:space="0" w:color="auto"/>
                <w:left w:val="none" w:sz="0" w:space="0" w:color="auto"/>
                <w:bottom w:val="none" w:sz="0" w:space="0" w:color="auto"/>
                <w:right w:val="none" w:sz="0" w:space="0" w:color="auto"/>
              </w:divBdr>
            </w:div>
            <w:div w:id="1196041653">
              <w:marLeft w:val="0"/>
              <w:marRight w:val="0"/>
              <w:marTop w:val="0"/>
              <w:marBottom w:val="0"/>
              <w:divBdr>
                <w:top w:val="none" w:sz="0" w:space="0" w:color="auto"/>
                <w:left w:val="none" w:sz="0" w:space="0" w:color="auto"/>
                <w:bottom w:val="none" w:sz="0" w:space="0" w:color="auto"/>
                <w:right w:val="none" w:sz="0" w:space="0" w:color="auto"/>
              </w:divBdr>
            </w:div>
            <w:div w:id="1196041659">
              <w:marLeft w:val="0"/>
              <w:marRight w:val="0"/>
              <w:marTop w:val="0"/>
              <w:marBottom w:val="0"/>
              <w:divBdr>
                <w:top w:val="none" w:sz="0" w:space="0" w:color="auto"/>
                <w:left w:val="none" w:sz="0" w:space="0" w:color="auto"/>
                <w:bottom w:val="none" w:sz="0" w:space="0" w:color="auto"/>
                <w:right w:val="none" w:sz="0" w:space="0" w:color="auto"/>
              </w:divBdr>
            </w:div>
            <w:div w:id="11960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23">
      <w:marLeft w:val="0"/>
      <w:marRight w:val="0"/>
      <w:marTop w:val="0"/>
      <w:marBottom w:val="0"/>
      <w:divBdr>
        <w:top w:val="none" w:sz="0" w:space="0" w:color="auto"/>
        <w:left w:val="none" w:sz="0" w:space="0" w:color="auto"/>
        <w:bottom w:val="none" w:sz="0" w:space="0" w:color="auto"/>
        <w:right w:val="none" w:sz="0" w:space="0" w:color="auto"/>
      </w:divBdr>
      <w:divsChild>
        <w:div w:id="1196041635">
          <w:marLeft w:val="0"/>
          <w:marRight w:val="0"/>
          <w:marTop w:val="0"/>
          <w:marBottom w:val="0"/>
          <w:divBdr>
            <w:top w:val="none" w:sz="0" w:space="0" w:color="auto"/>
            <w:left w:val="none" w:sz="0" w:space="0" w:color="auto"/>
            <w:bottom w:val="none" w:sz="0" w:space="0" w:color="auto"/>
            <w:right w:val="none" w:sz="0" w:space="0" w:color="auto"/>
          </w:divBdr>
          <w:divsChild>
            <w:div w:id="1196041609">
              <w:marLeft w:val="0"/>
              <w:marRight w:val="0"/>
              <w:marTop w:val="0"/>
              <w:marBottom w:val="0"/>
              <w:divBdr>
                <w:top w:val="none" w:sz="0" w:space="0" w:color="auto"/>
                <w:left w:val="none" w:sz="0" w:space="0" w:color="auto"/>
                <w:bottom w:val="none" w:sz="0" w:space="0" w:color="auto"/>
                <w:right w:val="none" w:sz="0" w:space="0" w:color="auto"/>
              </w:divBdr>
            </w:div>
            <w:div w:id="1196041656">
              <w:marLeft w:val="0"/>
              <w:marRight w:val="0"/>
              <w:marTop w:val="0"/>
              <w:marBottom w:val="0"/>
              <w:divBdr>
                <w:top w:val="none" w:sz="0" w:space="0" w:color="auto"/>
                <w:left w:val="none" w:sz="0" w:space="0" w:color="auto"/>
                <w:bottom w:val="none" w:sz="0" w:space="0" w:color="auto"/>
                <w:right w:val="none" w:sz="0" w:space="0" w:color="auto"/>
              </w:divBdr>
            </w:div>
            <w:div w:id="1196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27">
      <w:marLeft w:val="0"/>
      <w:marRight w:val="0"/>
      <w:marTop w:val="0"/>
      <w:marBottom w:val="0"/>
      <w:divBdr>
        <w:top w:val="none" w:sz="0" w:space="0" w:color="auto"/>
        <w:left w:val="none" w:sz="0" w:space="0" w:color="auto"/>
        <w:bottom w:val="none" w:sz="0" w:space="0" w:color="auto"/>
        <w:right w:val="none" w:sz="0" w:space="0" w:color="auto"/>
      </w:divBdr>
      <w:divsChild>
        <w:div w:id="1196041600">
          <w:marLeft w:val="0"/>
          <w:marRight w:val="0"/>
          <w:marTop w:val="0"/>
          <w:marBottom w:val="0"/>
          <w:divBdr>
            <w:top w:val="none" w:sz="0" w:space="0" w:color="auto"/>
            <w:left w:val="none" w:sz="0" w:space="0" w:color="auto"/>
            <w:bottom w:val="none" w:sz="0" w:space="0" w:color="auto"/>
            <w:right w:val="none" w:sz="0" w:space="0" w:color="auto"/>
          </w:divBdr>
        </w:div>
      </w:divsChild>
    </w:div>
    <w:div w:id="1196041628">
      <w:marLeft w:val="0"/>
      <w:marRight w:val="0"/>
      <w:marTop w:val="0"/>
      <w:marBottom w:val="0"/>
      <w:divBdr>
        <w:top w:val="none" w:sz="0" w:space="0" w:color="auto"/>
        <w:left w:val="none" w:sz="0" w:space="0" w:color="auto"/>
        <w:bottom w:val="none" w:sz="0" w:space="0" w:color="auto"/>
        <w:right w:val="none" w:sz="0" w:space="0" w:color="auto"/>
      </w:divBdr>
      <w:divsChild>
        <w:div w:id="1196041584">
          <w:marLeft w:val="0"/>
          <w:marRight w:val="0"/>
          <w:marTop w:val="0"/>
          <w:marBottom w:val="0"/>
          <w:divBdr>
            <w:top w:val="none" w:sz="0" w:space="0" w:color="auto"/>
            <w:left w:val="none" w:sz="0" w:space="0" w:color="auto"/>
            <w:bottom w:val="none" w:sz="0" w:space="0" w:color="auto"/>
            <w:right w:val="none" w:sz="0" w:space="0" w:color="auto"/>
          </w:divBdr>
        </w:div>
      </w:divsChild>
    </w:div>
    <w:div w:id="1196041630">
      <w:marLeft w:val="0"/>
      <w:marRight w:val="0"/>
      <w:marTop w:val="0"/>
      <w:marBottom w:val="0"/>
      <w:divBdr>
        <w:top w:val="none" w:sz="0" w:space="0" w:color="auto"/>
        <w:left w:val="none" w:sz="0" w:space="0" w:color="auto"/>
        <w:bottom w:val="none" w:sz="0" w:space="0" w:color="auto"/>
        <w:right w:val="none" w:sz="0" w:space="0" w:color="auto"/>
      </w:divBdr>
      <w:divsChild>
        <w:div w:id="1196041610">
          <w:marLeft w:val="0"/>
          <w:marRight w:val="0"/>
          <w:marTop w:val="0"/>
          <w:marBottom w:val="0"/>
          <w:divBdr>
            <w:top w:val="none" w:sz="0" w:space="0" w:color="auto"/>
            <w:left w:val="none" w:sz="0" w:space="0" w:color="auto"/>
            <w:bottom w:val="none" w:sz="0" w:space="0" w:color="auto"/>
            <w:right w:val="none" w:sz="0" w:space="0" w:color="auto"/>
          </w:divBdr>
          <w:divsChild>
            <w:div w:id="1196041641">
              <w:marLeft w:val="0"/>
              <w:marRight w:val="0"/>
              <w:marTop w:val="0"/>
              <w:marBottom w:val="0"/>
              <w:divBdr>
                <w:top w:val="none" w:sz="0" w:space="0" w:color="auto"/>
                <w:left w:val="none" w:sz="0" w:space="0" w:color="auto"/>
                <w:bottom w:val="none" w:sz="0" w:space="0" w:color="auto"/>
                <w:right w:val="none" w:sz="0" w:space="0" w:color="auto"/>
              </w:divBdr>
            </w:div>
            <w:div w:id="11960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34">
      <w:marLeft w:val="0"/>
      <w:marRight w:val="0"/>
      <w:marTop w:val="0"/>
      <w:marBottom w:val="0"/>
      <w:divBdr>
        <w:top w:val="none" w:sz="0" w:space="0" w:color="auto"/>
        <w:left w:val="none" w:sz="0" w:space="0" w:color="auto"/>
        <w:bottom w:val="none" w:sz="0" w:space="0" w:color="auto"/>
        <w:right w:val="none" w:sz="0" w:space="0" w:color="auto"/>
      </w:divBdr>
      <w:divsChild>
        <w:div w:id="1196041646">
          <w:marLeft w:val="0"/>
          <w:marRight w:val="0"/>
          <w:marTop w:val="0"/>
          <w:marBottom w:val="0"/>
          <w:divBdr>
            <w:top w:val="none" w:sz="0" w:space="0" w:color="auto"/>
            <w:left w:val="none" w:sz="0" w:space="0" w:color="auto"/>
            <w:bottom w:val="none" w:sz="0" w:space="0" w:color="auto"/>
            <w:right w:val="none" w:sz="0" w:space="0" w:color="auto"/>
          </w:divBdr>
          <w:divsChild>
            <w:div w:id="1196041592">
              <w:marLeft w:val="0"/>
              <w:marRight w:val="0"/>
              <w:marTop w:val="0"/>
              <w:marBottom w:val="0"/>
              <w:divBdr>
                <w:top w:val="none" w:sz="0" w:space="0" w:color="auto"/>
                <w:left w:val="none" w:sz="0" w:space="0" w:color="auto"/>
                <w:bottom w:val="none" w:sz="0" w:space="0" w:color="auto"/>
                <w:right w:val="none" w:sz="0" w:space="0" w:color="auto"/>
              </w:divBdr>
            </w:div>
            <w:div w:id="11960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36">
      <w:marLeft w:val="0"/>
      <w:marRight w:val="0"/>
      <w:marTop w:val="0"/>
      <w:marBottom w:val="0"/>
      <w:divBdr>
        <w:top w:val="none" w:sz="0" w:space="0" w:color="auto"/>
        <w:left w:val="none" w:sz="0" w:space="0" w:color="auto"/>
        <w:bottom w:val="none" w:sz="0" w:space="0" w:color="auto"/>
        <w:right w:val="none" w:sz="0" w:space="0" w:color="auto"/>
      </w:divBdr>
      <w:divsChild>
        <w:div w:id="1196041667">
          <w:marLeft w:val="0"/>
          <w:marRight w:val="0"/>
          <w:marTop w:val="0"/>
          <w:marBottom w:val="0"/>
          <w:divBdr>
            <w:top w:val="none" w:sz="0" w:space="0" w:color="auto"/>
            <w:left w:val="none" w:sz="0" w:space="0" w:color="auto"/>
            <w:bottom w:val="none" w:sz="0" w:space="0" w:color="auto"/>
            <w:right w:val="none" w:sz="0" w:space="0" w:color="auto"/>
          </w:divBdr>
          <w:divsChild>
            <w:div w:id="1196041607">
              <w:marLeft w:val="0"/>
              <w:marRight w:val="0"/>
              <w:marTop w:val="0"/>
              <w:marBottom w:val="0"/>
              <w:divBdr>
                <w:top w:val="none" w:sz="0" w:space="0" w:color="auto"/>
                <w:left w:val="none" w:sz="0" w:space="0" w:color="auto"/>
                <w:bottom w:val="none" w:sz="0" w:space="0" w:color="auto"/>
                <w:right w:val="none" w:sz="0" w:space="0" w:color="auto"/>
              </w:divBdr>
            </w:div>
            <w:div w:id="1196041619">
              <w:marLeft w:val="0"/>
              <w:marRight w:val="0"/>
              <w:marTop w:val="0"/>
              <w:marBottom w:val="0"/>
              <w:divBdr>
                <w:top w:val="none" w:sz="0" w:space="0" w:color="auto"/>
                <w:left w:val="none" w:sz="0" w:space="0" w:color="auto"/>
                <w:bottom w:val="none" w:sz="0" w:space="0" w:color="auto"/>
                <w:right w:val="none" w:sz="0" w:space="0" w:color="auto"/>
              </w:divBdr>
            </w:div>
            <w:div w:id="11960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43">
      <w:marLeft w:val="0"/>
      <w:marRight w:val="0"/>
      <w:marTop w:val="0"/>
      <w:marBottom w:val="0"/>
      <w:divBdr>
        <w:top w:val="none" w:sz="0" w:space="0" w:color="auto"/>
        <w:left w:val="none" w:sz="0" w:space="0" w:color="auto"/>
        <w:bottom w:val="none" w:sz="0" w:space="0" w:color="auto"/>
        <w:right w:val="none" w:sz="0" w:space="0" w:color="auto"/>
      </w:divBdr>
      <w:divsChild>
        <w:div w:id="1196041645">
          <w:marLeft w:val="0"/>
          <w:marRight w:val="0"/>
          <w:marTop w:val="0"/>
          <w:marBottom w:val="0"/>
          <w:divBdr>
            <w:top w:val="none" w:sz="0" w:space="0" w:color="auto"/>
            <w:left w:val="none" w:sz="0" w:space="0" w:color="auto"/>
            <w:bottom w:val="none" w:sz="0" w:space="0" w:color="auto"/>
            <w:right w:val="none" w:sz="0" w:space="0" w:color="auto"/>
          </w:divBdr>
          <w:divsChild>
            <w:div w:id="1196041587">
              <w:marLeft w:val="0"/>
              <w:marRight w:val="0"/>
              <w:marTop w:val="0"/>
              <w:marBottom w:val="0"/>
              <w:divBdr>
                <w:top w:val="none" w:sz="0" w:space="0" w:color="auto"/>
                <w:left w:val="none" w:sz="0" w:space="0" w:color="auto"/>
                <w:bottom w:val="none" w:sz="0" w:space="0" w:color="auto"/>
                <w:right w:val="none" w:sz="0" w:space="0" w:color="auto"/>
              </w:divBdr>
            </w:div>
            <w:div w:id="11960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44">
      <w:marLeft w:val="0"/>
      <w:marRight w:val="0"/>
      <w:marTop w:val="0"/>
      <w:marBottom w:val="0"/>
      <w:divBdr>
        <w:top w:val="none" w:sz="0" w:space="0" w:color="auto"/>
        <w:left w:val="none" w:sz="0" w:space="0" w:color="auto"/>
        <w:bottom w:val="none" w:sz="0" w:space="0" w:color="auto"/>
        <w:right w:val="none" w:sz="0" w:space="0" w:color="auto"/>
      </w:divBdr>
      <w:divsChild>
        <w:div w:id="1196041595">
          <w:marLeft w:val="0"/>
          <w:marRight w:val="0"/>
          <w:marTop w:val="0"/>
          <w:marBottom w:val="0"/>
          <w:divBdr>
            <w:top w:val="none" w:sz="0" w:space="0" w:color="auto"/>
            <w:left w:val="none" w:sz="0" w:space="0" w:color="auto"/>
            <w:bottom w:val="none" w:sz="0" w:space="0" w:color="auto"/>
            <w:right w:val="none" w:sz="0" w:space="0" w:color="auto"/>
          </w:divBdr>
        </w:div>
      </w:divsChild>
    </w:div>
    <w:div w:id="1196041647">
      <w:marLeft w:val="0"/>
      <w:marRight w:val="0"/>
      <w:marTop w:val="0"/>
      <w:marBottom w:val="0"/>
      <w:divBdr>
        <w:top w:val="none" w:sz="0" w:space="0" w:color="auto"/>
        <w:left w:val="none" w:sz="0" w:space="0" w:color="auto"/>
        <w:bottom w:val="none" w:sz="0" w:space="0" w:color="auto"/>
        <w:right w:val="none" w:sz="0" w:space="0" w:color="auto"/>
      </w:divBdr>
      <w:divsChild>
        <w:div w:id="1196041631">
          <w:marLeft w:val="0"/>
          <w:marRight w:val="0"/>
          <w:marTop w:val="0"/>
          <w:marBottom w:val="0"/>
          <w:divBdr>
            <w:top w:val="none" w:sz="0" w:space="0" w:color="auto"/>
            <w:left w:val="none" w:sz="0" w:space="0" w:color="auto"/>
            <w:bottom w:val="none" w:sz="0" w:space="0" w:color="auto"/>
            <w:right w:val="none" w:sz="0" w:space="0" w:color="auto"/>
          </w:divBdr>
          <w:divsChild>
            <w:div w:id="1196041585">
              <w:marLeft w:val="0"/>
              <w:marRight w:val="0"/>
              <w:marTop w:val="0"/>
              <w:marBottom w:val="0"/>
              <w:divBdr>
                <w:top w:val="none" w:sz="0" w:space="0" w:color="auto"/>
                <w:left w:val="none" w:sz="0" w:space="0" w:color="auto"/>
                <w:bottom w:val="none" w:sz="0" w:space="0" w:color="auto"/>
                <w:right w:val="none" w:sz="0" w:space="0" w:color="auto"/>
              </w:divBdr>
            </w:div>
            <w:div w:id="1196041593">
              <w:marLeft w:val="0"/>
              <w:marRight w:val="0"/>
              <w:marTop w:val="0"/>
              <w:marBottom w:val="0"/>
              <w:divBdr>
                <w:top w:val="none" w:sz="0" w:space="0" w:color="auto"/>
                <w:left w:val="none" w:sz="0" w:space="0" w:color="auto"/>
                <w:bottom w:val="none" w:sz="0" w:space="0" w:color="auto"/>
                <w:right w:val="none" w:sz="0" w:space="0" w:color="auto"/>
              </w:divBdr>
            </w:div>
            <w:div w:id="1196041613">
              <w:marLeft w:val="0"/>
              <w:marRight w:val="0"/>
              <w:marTop w:val="0"/>
              <w:marBottom w:val="0"/>
              <w:divBdr>
                <w:top w:val="none" w:sz="0" w:space="0" w:color="auto"/>
                <w:left w:val="none" w:sz="0" w:space="0" w:color="auto"/>
                <w:bottom w:val="none" w:sz="0" w:space="0" w:color="auto"/>
                <w:right w:val="none" w:sz="0" w:space="0" w:color="auto"/>
              </w:divBdr>
            </w:div>
            <w:div w:id="1196041618">
              <w:marLeft w:val="0"/>
              <w:marRight w:val="0"/>
              <w:marTop w:val="0"/>
              <w:marBottom w:val="0"/>
              <w:divBdr>
                <w:top w:val="none" w:sz="0" w:space="0" w:color="auto"/>
                <w:left w:val="none" w:sz="0" w:space="0" w:color="auto"/>
                <w:bottom w:val="none" w:sz="0" w:space="0" w:color="auto"/>
                <w:right w:val="none" w:sz="0" w:space="0" w:color="auto"/>
              </w:divBdr>
            </w:div>
            <w:div w:id="11960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49">
      <w:marLeft w:val="0"/>
      <w:marRight w:val="0"/>
      <w:marTop w:val="0"/>
      <w:marBottom w:val="0"/>
      <w:divBdr>
        <w:top w:val="none" w:sz="0" w:space="0" w:color="auto"/>
        <w:left w:val="none" w:sz="0" w:space="0" w:color="auto"/>
        <w:bottom w:val="none" w:sz="0" w:space="0" w:color="auto"/>
        <w:right w:val="none" w:sz="0" w:space="0" w:color="auto"/>
      </w:divBdr>
      <w:divsChild>
        <w:div w:id="1196041620">
          <w:marLeft w:val="0"/>
          <w:marRight w:val="0"/>
          <w:marTop w:val="0"/>
          <w:marBottom w:val="0"/>
          <w:divBdr>
            <w:top w:val="none" w:sz="0" w:space="0" w:color="auto"/>
            <w:left w:val="none" w:sz="0" w:space="0" w:color="auto"/>
            <w:bottom w:val="none" w:sz="0" w:space="0" w:color="auto"/>
            <w:right w:val="none" w:sz="0" w:space="0" w:color="auto"/>
          </w:divBdr>
          <w:divsChild>
            <w:div w:id="1196041590">
              <w:marLeft w:val="0"/>
              <w:marRight w:val="0"/>
              <w:marTop w:val="0"/>
              <w:marBottom w:val="0"/>
              <w:divBdr>
                <w:top w:val="none" w:sz="0" w:space="0" w:color="auto"/>
                <w:left w:val="none" w:sz="0" w:space="0" w:color="auto"/>
                <w:bottom w:val="none" w:sz="0" w:space="0" w:color="auto"/>
                <w:right w:val="none" w:sz="0" w:space="0" w:color="auto"/>
              </w:divBdr>
            </w:div>
            <w:div w:id="1196041594">
              <w:marLeft w:val="0"/>
              <w:marRight w:val="0"/>
              <w:marTop w:val="0"/>
              <w:marBottom w:val="0"/>
              <w:divBdr>
                <w:top w:val="none" w:sz="0" w:space="0" w:color="auto"/>
                <w:left w:val="none" w:sz="0" w:space="0" w:color="auto"/>
                <w:bottom w:val="none" w:sz="0" w:space="0" w:color="auto"/>
                <w:right w:val="none" w:sz="0" w:space="0" w:color="auto"/>
              </w:divBdr>
            </w:div>
            <w:div w:id="1196041614">
              <w:marLeft w:val="0"/>
              <w:marRight w:val="0"/>
              <w:marTop w:val="0"/>
              <w:marBottom w:val="0"/>
              <w:divBdr>
                <w:top w:val="none" w:sz="0" w:space="0" w:color="auto"/>
                <w:left w:val="none" w:sz="0" w:space="0" w:color="auto"/>
                <w:bottom w:val="none" w:sz="0" w:space="0" w:color="auto"/>
                <w:right w:val="none" w:sz="0" w:space="0" w:color="auto"/>
              </w:divBdr>
            </w:div>
            <w:div w:id="1196041615">
              <w:marLeft w:val="0"/>
              <w:marRight w:val="0"/>
              <w:marTop w:val="0"/>
              <w:marBottom w:val="0"/>
              <w:divBdr>
                <w:top w:val="none" w:sz="0" w:space="0" w:color="auto"/>
                <w:left w:val="none" w:sz="0" w:space="0" w:color="auto"/>
                <w:bottom w:val="none" w:sz="0" w:space="0" w:color="auto"/>
                <w:right w:val="none" w:sz="0" w:space="0" w:color="auto"/>
              </w:divBdr>
            </w:div>
            <w:div w:id="1196041650">
              <w:marLeft w:val="0"/>
              <w:marRight w:val="0"/>
              <w:marTop w:val="0"/>
              <w:marBottom w:val="0"/>
              <w:divBdr>
                <w:top w:val="none" w:sz="0" w:space="0" w:color="auto"/>
                <w:left w:val="none" w:sz="0" w:space="0" w:color="auto"/>
                <w:bottom w:val="none" w:sz="0" w:space="0" w:color="auto"/>
                <w:right w:val="none" w:sz="0" w:space="0" w:color="auto"/>
              </w:divBdr>
            </w:div>
            <w:div w:id="11960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51">
      <w:marLeft w:val="0"/>
      <w:marRight w:val="0"/>
      <w:marTop w:val="0"/>
      <w:marBottom w:val="0"/>
      <w:divBdr>
        <w:top w:val="none" w:sz="0" w:space="0" w:color="auto"/>
        <w:left w:val="none" w:sz="0" w:space="0" w:color="auto"/>
        <w:bottom w:val="none" w:sz="0" w:space="0" w:color="auto"/>
        <w:right w:val="none" w:sz="0" w:space="0" w:color="auto"/>
      </w:divBdr>
      <w:divsChild>
        <w:div w:id="1196041605">
          <w:marLeft w:val="0"/>
          <w:marRight w:val="0"/>
          <w:marTop w:val="0"/>
          <w:marBottom w:val="0"/>
          <w:divBdr>
            <w:top w:val="none" w:sz="0" w:space="0" w:color="auto"/>
            <w:left w:val="none" w:sz="0" w:space="0" w:color="auto"/>
            <w:bottom w:val="none" w:sz="0" w:space="0" w:color="auto"/>
            <w:right w:val="none" w:sz="0" w:space="0" w:color="auto"/>
          </w:divBdr>
        </w:div>
      </w:divsChild>
    </w:div>
    <w:div w:id="1196041662">
      <w:marLeft w:val="0"/>
      <w:marRight w:val="0"/>
      <w:marTop w:val="0"/>
      <w:marBottom w:val="0"/>
      <w:divBdr>
        <w:top w:val="none" w:sz="0" w:space="0" w:color="auto"/>
        <w:left w:val="none" w:sz="0" w:space="0" w:color="auto"/>
        <w:bottom w:val="none" w:sz="0" w:space="0" w:color="auto"/>
        <w:right w:val="none" w:sz="0" w:space="0" w:color="auto"/>
      </w:divBdr>
      <w:divsChild>
        <w:div w:id="1196041632">
          <w:marLeft w:val="0"/>
          <w:marRight w:val="0"/>
          <w:marTop w:val="0"/>
          <w:marBottom w:val="0"/>
          <w:divBdr>
            <w:top w:val="none" w:sz="0" w:space="0" w:color="auto"/>
            <w:left w:val="none" w:sz="0" w:space="0" w:color="auto"/>
            <w:bottom w:val="none" w:sz="0" w:space="0" w:color="auto"/>
            <w:right w:val="none" w:sz="0" w:space="0" w:color="auto"/>
          </w:divBdr>
        </w:div>
      </w:divsChild>
    </w:div>
    <w:div w:id="1196041663">
      <w:marLeft w:val="0"/>
      <w:marRight w:val="0"/>
      <w:marTop w:val="0"/>
      <w:marBottom w:val="0"/>
      <w:divBdr>
        <w:top w:val="none" w:sz="0" w:space="0" w:color="auto"/>
        <w:left w:val="none" w:sz="0" w:space="0" w:color="auto"/>
        <w:bottom w:val="none" w:sz="0" w:space="0" w:color="auto"/>
        <w:right w:val="none" w:sz="0" w:space="0" w:color="auto"/>
      </w:divBdr>
      <w:divsChild>
        <w:div w:id="1196041598">
          <w:marLeft w:val="0"/>
          <w:marRight w:val="0"/>
          <w:marTop w:val="0"/>
          <w:marBottom w:val="0"/>
          <w:divBdr>
            <w:top w:val="none" w:sz="0" w:space="0" w:color="auto"/>
            <w:left w:val="none" w:sz="0" w:space="0" w:color="auto"/>
            <w:bottom w:val="none" w:sz="0" w:space="0" w:color="auto"/>
            <w:right w:val="none" w:sz="0" w:space="0" w:color="auto"/>
          </w:divBdr>
        </w:div>
      </w:divsChild>
    </w:div>
    <w:div w:id="1297567686">
      <w:bodyDiv w:val="1"/>
      <w:marLeft w:val="0"/>
      <w:marRight w:val="0"/>
      <w:marTop w:val="0"/>
      <w:marBottom w:val="0"/>
      <w:divBdr>
        <w:top w:val="none" w:sz="0" w:space="0" w:color="auto"/>
        <w:left w:val="none" w:sz="0" w:space="0" w:color="auto"/>
        <w:bottom w:val="none" w:sz="0" w:space="0" w:color="auto"/>
        <w:right w:val="none" w:sz="0" w:space="0" w:color="auto"/>
      </w:divBdr>
    </w:div>
    <w:div w:id="1361009699">
      <w:bodyDiv w:val="1"/>
      <w:marLeft w:val="0"/>
      <w:marRight w:val="0"/>
      <w:marTop w:val="0"/>
      <w:marBottom w:val="0"/>
      <w:divBdr>
        <w:top w:val="none" w:sz="0" w:space="0" w:color="auto"/>
        <w:left w:val="none" w:sz="0" w:space="0" w:color="auto"/>
        <w:bottom w:val="none" w:sz="0" w:space="0" w:color="auto"/>
        <w:right w:val="none" w:sz="0" w:space="0" w:color="auto"/>
      </w:divBdr>
    </w:div>
    <w:div w:id="1425691823">
      <w:bodyDiv w:val="1"/>
      <w:marLeft w:val="0"/>
      <w:marRight w:val="0"/>
      <w:marTop w:val="0"/>
      <w:marBottom w:val="0"/>
      <w:divBdr>
        <w:top w:val="none" w:sz="0" w:space="0" w:color="auto"/>
        <w:left w:val="none" w:sz="0" w:space="0" w:color="auto"/>
        <w:bottom w:val="none" w:sz="0" w:space="0" w:color="auto"/>
        <w:right w:val="none" w:sz="0" w:space="0" w:color="auto"/>
      </w:divBdr>
    </w:div>
    <w:div w:id="1600333061">
      <w:bodyDiv w:val="1"/>
      <w:marLeft w:val="0"/>
      <w:marRight w:val="0"/>
      <w:marTop w:val="0"/>
      <w:marBottom w:val="0"/>
      <w:divBdr>
        <w:top w:val="none" w:sz="0" w:space="0" w:color="auto"/>
        <w:left w:val="none" w:sz="0" w:space="0" w:color="auto"/>
        <w:bottom w:val="none" w:sz="0" w:space="0" w:color="auto"/>
        <w:right w:val="none" w:sz="0" w:space="0" w:color="auto"/>
      </w:divBdr>
    </w:div>
    <w:div w:id="1661539705">
      <w:bodyDiv w:val="1"/>
      <w:marLeft w:val="0"/>
      <w:marRight w:val="0"/>
      <w:marTop w:val="0"/>
      <w:marBottom w:val="0"/>
      <w:divBdr>
        <w:top w:val="none" w:sz="0" w:space="0" w:color="auto"/>
        <w:left w:val="none" w:sz="0" w:space="0" w:color="auto"/>
        <w:bottom w:val="none" w:sz="0" w:space="0" w:color="auto"/>
        <w:right w:val="none" w:sz="0" w:space="0" w:color="auto"/>
      </w:divBdr>
    </w:div>
    <w:div w:id="1700928791">
      <w:bodyDiv w:val="1"/>
      <w:marLeft w:val="0"/>
      <w:marRight w:val="0"/>
      <w:marTop w:val="0"/>
      <w:marBottom w:val="0"/>
      <w:divBdr>
        <w:top w:val="none" w:sz="0" w:space="0" w:color="auto"/>
        <w:left w:val="none" w:sz="0" w:space="0" w:color="auto"/>
        <w:bottom w:val="none" w:sz="0" w:space="0" w:color="auto"/>
        <w:right w:val="none" w:sz="0" w:space="0" w:color="auto"/>
      </w:divBdr>
    </w:div>
    <w:div w:id="20706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sk.edhec.edu/sites/risk/files/indices/publications/edhec_risk_publication_-_benefits_of_open_architecture_and_multi-management_in_real_estate_markets.pdf" TargetMode="External"/><Relationship Id="rId26" Type="http://schemas.openxmlformats.org/officeDocument/2006/relationships/hyperlink" Target="mailto:yhendrice@fargo.agency" TargetMode="External"/><Relationship Id="rId3" Type="http://schemas.openxmlformats.org/officeDocument/2006/relationships/customXml" Target="../customXml/item3.xml"/><Relationship Id="rId21" Type="http://schemas.openxmlformats.org/officeDocument/2006/relationships/image" Target="media/image30.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yperlink" Target="mailto:marie.caradec@swisslife-am.com" TargetMode="External"/><Relationship Id="rId3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isk.edhec.ed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risk.edhec.edu" TargetMode="External"/><Relationship Id="rId28"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sk.edhec.edu/case-study-real-assets-investing-french-non-listed-real" TargetMode="External"/><Relationship Id="rId22" Type="http://schemas.openxmlformats.org/officeDocument/2006/relationships/hyperlink" Target="mailto:maud.gauchon@edhec-risk.com" TargetMode="External"/><Relationship Id="rId27" Type="http://schemas.openxmlformats.org/officeDocument/2006/relationships/hyperlink" Target="mailto:hlachouque@fargo.agency"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869C6E3D17A149BF3177AF62D465D0" ma:contentTypeVersion="13" ma:contentTypeDescription="Create a new document." ma:contentTypeScope="" ma:versionID="07ac35e3f2aaa388b764cdd2859a4c20">
  <xsd:schema xmlns:xsd="http://www.w3.org/2001/XMLSchema" xmlns:xs="http://www.w3.org/2001/XMLSchema" xmlns:p="http://schemas.microsoft.com/office/2006/metadata/properties" xmlns:ns3="7bcf2e7b-cf47-4e17-b632-5558487ec044" xmlns:ns4="d64fd392-e17e-4b03-81f6-28c23e0495ea" targetNamespace="http://schemas.microsoft.com/office/2006/metadata/properties" ma:root="true" ma:fieldsID="083eb32d233670d104c0b6e895637c93" ns3:_="" ns4:_="">
    <xsd:import namespace="7bcf2e7b-cf47-4e17-b632-5558487ec044"/>
    <xsd:import namespace="d64fd392-e17e-4b03-81f6-28c23e0495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2e7b-cf47-4e17-b632-5558487ec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fd392-e17e-4b03-81f6-28c23e0495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B050E-ACF1-4777-B6BC-1CBE6E77E5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2908CB-C29C-4099-9C3C-6823F12B6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2e7b-cf47-4e17-b632-5558487ec044"/>
    <ds:schemaRef ds:uri="d64fd392-e17e-4b03-81f6-28c23e049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5765D-6A2C-46DB-A598-776A48A861DA}">
  <ds:schemaRefs>
    <ds:schemaRef ds:uri="http://schemas.microsoft.com/sharepoint/v3/contenttype/forms"/>
  </ds:schemaRefs>
</ds:datastoreItem>
</file>

<file path=customXml/itemProps4.xml><?xml version="1.0" encoding="utf-8"?>
<ds:datastoreItem xmlns:ds="http://schemas.openxmlformats.org/officeDocument/2006/customXml" ds:itemID="{A12EC488-18BA-4BA8-8343-456C7C38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2073</Words>
  <Characters>11405</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texte pour le communiqué de presse Misys plc concernant la distinction reçue par Noël Amenc</vt:lpstr>
      <vt:lpstr>Proposition de texte pour le communiqué de presse Misys plc concernant la distinction reçue par Noël Amenc</vt:lpstr>
    </vt:vector>
  </TitlesOfParts>
  <Company>misys</Company>
  <LinksUpToDate>false</LinksUpToDate>
  <CharactersWithSpaces>13452</CharactersWithSpaces>
  <SharedDoc>false</SharedDoc>
  <HLinks>
    <vt:vector size="24" baseType="variant">
      <vt:variant>
        <vt:i4>2752624</vt:i4>
      </vt:variant>
      <vt:variant>
        <vt:i4>9</vt:i4>
      </vt:variant>
      <vt:variant>
        <vt:i4>0</vt:i4>
      </vt:variant>
      <vt:variant>
        <vt:i4>5</vt:i4>
      </vt:variant>
      <vt:variant>
        <vt:lpwstr>http://www.edhec-risk.com/</vt:lpwstr>
      </vt:variant>
      <vt:variant>
        <vt:lpwstr/>
      </vt:variant>
      <vt:variant>
        <vt:i4>2752624</vt:i4>
      </vt:variant>
      <vt:variant>
        <vt:i4>6</vt:i4>
      </vt:variant>
      <vt:variant>
        <vt:i4>0</vt:i4>
      </vt:variant>
      <vt:variant>
        <vt:i4>5</vt:i4>
      </vt:variant>
      <vt:variant>
        <vt:lpwstr>http://www.edhec-risk.com/</vt:lpwstr>
      </vt:variant>
      <vt:variant>
        <vt:lpwstr/>
      </vt:variant>
      <vt:variant>
        <vt:i4>2752624</vt:i4>
      </vt:variant>
      <vt:variant>
        <vt:i4>3</vt:i4>
      </vt:variant>
      <vt:variant>
        <vt:i4>0</vt:i4>
      </vt:variant>
      <vt:variant>
        <vt:i4>5</vt:i4>
      </vt:variant>
      <vt:variant>
        <vt:lpwstr>http://www.edhec-risk.com/</vt:lpwstr>
      </vt:variant>
      <vt:variant>
        <vt:lpwstr/>
      </vt:variant>
      <vt:variant>
        <vt:i4>2359320</vt:i4>
      </vt:variant>
      <vt:variant>
        <vt:i4>0</vt:i4>
      </vt:variant>
      <vt:variant>
        <vt:i4>0</vt:i4>
      </vt:variant>
      <vt:variant>
        <vt:i4>5</vt:i4>
      </vt:variant>
      <vt:variant>
        <vt:lpwstr>mailto:laura.pensato@edhec-risk.com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texte pour le communiqué de presse Misys plc concernant la distinction reçue par Noël Amenc</dc:title>
  <dc:subject/>
  <dc:creator>LaKrilof</dc:creator>
  <cp:keywords/>
  <dc:description/>
  <cp:lastModifiedBy>GAUCHON Maud</cp:lastModifiedBy>
  <cp:revision>3</cp:revision>
  <cp:lastPrinted>2020-02-28T13:13:00Z</cp:lastPrinted>
  <dcterms:created xsi:type="dcterms:W3CDTF">2021-06-22T13:19:00Z</dcterms:created>
  <dcterms:modified xsi:type="dcterms:W3CDTF">2021-06-23T09:48:00Z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0x010100C4869C6E3D17A149BF3177AF62D465D0</vt:lpwstr>
  </property>
  <property fmtid="{D5CDD505-2E9C-101B-9397-08002B2CF9AE}" pid="4" name="MSIP_Label_e2f0d0b2-43fc-4722-98d4-b587ef4148d4_Enabled">
    <vt:lpwstr>true</vt:lpwstr>
  </property>
  <property fmtid="{D5CDD505-2E9C-101B-9397-08002B2CF9AE}" pid="5" name="MSIP_Label_e2f0d0b2-43fc-4722-98d4-b587ef4148d4_SetDate">
    <vt:lpwstr>2021-06-21T16:37:24Z</vt:lpwstr>
  </property>
  <property fmtid="{D5CDD505-2E9C-101B-9397-08002B2CF9AE}" pid="6" name="MSIP_Label_e2f0d0b2-43fc-4722-98d4-b587ef4148d4_Method">
    <vt:lpwstr>Privileged</vt:lpwstr>
  </property>
  <property fmtid="{D5CDD505-2E9C-101B-9397-08002B2CF9AE}" pid="7" name="MSIP_Label_e2f0d0b2-43fc-4722-98d4-b587ef4148d4_Name">
    <vt:lpwstr>Non Business</vt:lpwstr>
  </property>
  <property fmtid="{D5CDD505-2E9C-101B-9397-08002B2CF9AE}" pid="8" name="MSIP_Label_e2f0d0b2-43fc-4722-98d4-b587ef4148d4_SiteId">
    <vt:lpwstr>f36d0a0b-122d-4d4b-9a62-2f60847775a7</vt:lpwstr>
  </property>
  <property fmtid="{D5CDD505-2E9C-101B-9397-08002B2CF9AE}" pid="9" name="MSIP_Label_e2f0d0b2-43fc-4722-98d4-b587ef4148d4_ActionId">
    <vt:lpwstr>2d9c6257-e006-4ba6-b87d-7e6ebf0762b2</vt:lpwstr>
  </property>
  <property fmtid="{D5CDD505-2E9C-101B-9397-08002B2CF9AE}" pid="10" name="MSIP_Label_e2f0d0b2-43fc-4722-98d4-b587ef4148d4_ContentBits">
    <vt:lpwstr>0</vt:lpwstr>
  </property>
  <property fmtid="{D5CDD505-2E9C-101B-9397-08002B2CF9AE}" pid="11" name="MSIP_Label_a04939ea-e27f-4861-ac59-9f03213f7e8b_Enabled">
    <vt:lpwstr>true</vt:lpwstr>
  </property>
  <property fmtid="{D5CDD505-2E9C-101B-9397-08002B2CF9AE}" pid="12" name="MSIP_Label_a04939ea-e27f-4861-ac59-9f03213f7e8b_SetDate">
    <vt:lpwstr>2021-06-22T08:13:09Z</vt:lpwstr>
  </property>
  <property fmtid="{D5CDD505-2E9C-101B-9397-08002B2CF9AE}" pid="13" name="MSIP_Label_a04939ea-e27f-4861-ac59-9f03213f7e8b_Method">
    <vt:lpwstr>Standard</vt:lpwstr>
  </property>
  <property fmtid="{D5CDD505-2E9C-101B-9397-08002B2CF9AE}" pid="14" name="MSIP_Label_a04939ea-e27f-4861-ac59-9f03213f7e8b_Name">
    <vt:lpwstr>a04939ea-e27f-4861-ac59-9f03213f7e8b</vt:lpwstr>
  </property>
  <property fmtid="{D5CDD505-2E9C-101B-9397-08002B2CF9AE}" pid="15" name="MSIP_Label_a04939ea-e27f-4861-ac59-9f03213f7e8b_SiteId">
    <vt:lpwstr>ab3ae8a3-fd32-4b83-831e-919c6fcd28b2</vt:lpwstr>
  </property>
  <property fmtid="{D5CDD505-2E9C-101B-9397-08002B2CF9AE}" pid="16" name="MSIP_Label_a04939ea-e27f-4861-ac59-9f03213f7e8b_ActionId">
    <vt:lpwstr>bb0ca808-0167-4bf1-93ce-b110b2bb132f</vt:lpwstr>
  </property>
  <property fmtid="{D5CDD505-2E9C-101B-9397-08002B2CF9AE}" pid="17" name="MSIP_Label_a04939ea-e27f-4861-ac59-9f03213f7e8b_ContentBits">
    <vt:lpwstr>0</vt:lpwstr>
  </property>
</Properties>
</file>