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5331" w14:textId="77777777" w:rsidR="004D0478" w:rsidRPr="00367E63" w:rsidRDefault="000B3EAD" w:rsidP="0060668E">
      <w:pPr>
        <w:spacing w:line="280" w:lineRule="exact"/>
        <w:jc w:val="center"/>
        <w:rPr>
          <w:rFonts w:ascii="Arial Narrow" w:hAnsi="Arial Narrow"/>
          <w:b/>
          <w:sz w:val="26"/>
        </w:rPr>
      </w:pPr>
      <w:r w:rsidRPr="00367E63">
        <w:rPr>
          <w:noProof/>
          <w:lang w:val="fr-FR"/>
        </w:rPr>
        <w:drawing>
          <wp:anchor distT="0" distB="0" distL="114300" distR="114300" simplePos="0" relativeHeight="251657216" behindDoc="1" locked="0" layoutInCell="1" allowOverlap="1" wp14:anchorId="556A3205" wp14:editId="660DD436">
            <wp:simplePos x="0" y="0"/>
            <wp:positionH relativeFrom="column">
              <wp:posOffset>1919605</wp:posOffset>
            </wp:positionH>
            <wp:positionV relativeFrom="paragraph">
              <wp:posOffset>-178435</wp:posOffset>
            </wp:positionV>
            <wp:extent cx="1943100" cy="752475"/>
            <wp:effectExtent l="19050" t="0" r="0" b="0"/>
            <wp:wrapTight wrapText="bothSides">
              <wp:wrapPolygon edited="0">
                <wp:start x="-212" y="0"/>
                <wp:lineTo x="-212" y="21327"/>
                <wp:lineTo x="21600" y="21327"/>
                <wp:lineTo x="21600" y="0"/>
                <wp:lineTo x="-212" y="0"/>
              </wp:wrapPolygon>
            </wp:wrapTight>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8" cstate="print"/>
                    <a:srcRect/>
                    <a:stretch>
                      <a:fillRect/>
                    </a:stretch>
                  </pic:blipFill>
                  <pic:spPr bwMode="auto">
                    <a:xfrm>
                      <a:off x="0" y="0"/>
                      <a:ext cx="1943100" cy="752475"/>
                    </a:xfrm>
                    <a:prstGeom prst="rect">
                      <a:avLst/>
                    </a:prstGeom>
                    <a:noFill/>
                    <a:ln w="9525">
                      <a:noFill/>
                      <a:miter lim="800000"/>
                      <a:headEnd/>
                      <a:tailEnd/>
                    </a:ln>
                  </pic:spPr>
                </pic:pic>
              </a:graphicData>
            </a:graphic>
          </wp:anchor>
        </w:drawing>
      </w:r>
    </w:p>
    <w:p w14:paraId="538A533E" w14:textId="77777777" w:rsidR="00C203DD" w:rsidRPr="00367E63" w:rsidRDefault="00C203DD">
      <w:pPr>
        <w:pStyle w:val="En-tte"/>
        <w:tabs>
          <w:tab w:val="clear" w:pos="4536"/>
          <w:tab w:val="clear" w:pos="9072"/>
        </w:tabs>
        <w:rPr>
          <w:b/>
          <w:sz w:val="32"/>
        </w:rPr>
      </w:pPr>
    </w:p>
    <w:p w14:paraId="7CA8668F" w14:textId="77777777" w:rsidR="0009747F" w:rsidRPr="00367E63" w:rsidRDefault="0009747F" w:rsidP="005C03E7">
      <w:pPr>
        <w:pStyle w:val="En-tte"/>
        <w:tabs>
          <w:tab w:val="clear" w:pos="4536"/>
          <w:tab w:val="clear" w:pos="9072"/>
        </w:tabs>
        <w:jc w:val="right"/>
        <w:rPr>
          <w:b/>
          <w:sz w:val="32"/>
        </w:rPr>
      </w:pPr>
    </w:p>
    <w:p w14:paraId="63737183" w14:textId="77777777" w:rsidR="000B3EAD" w:rsidRPr="00367E63" w:rsidRDefault="000B3EAD" w:rsidP="00F409B2">
      <w:pPr>
        <w:pStyle w:val="En-tte"/>
        <w:tabs>
          <w:tab w:val="clear" w:pos="4536"/>
          <w:tab w:val="clear" w:pos="9072"/>
          <w:tab w:val="right" w:pos="9000"/>
        </w:tabs>
        <w:rPr>
          <w:b/>
          <w:bCs/>
          <w:sz w:val="24"/>
          <w:szCs w:val="24"/>
        </w:rPr>
      </w:pPr>
    </w:p>
    <w:p w14:paraId="5ED68847" w14:textId="77777777" w:rsidR="000B3EAD" w:rsidRPr="00367E63" w:rsidRDefault="000B3EAD" w:rsidP="00F409B2">
      <w:pPr>
        <w:pStyle w:val="En-tte"/>
        <w:tabs>
          <w:tab w:val="clear" w:pos="4536"/>
          <w:tab w:val="clear" w:pos="9072"/>
          <w:tab w:val="right" w:pos="9000"/>
        </w:tabs>
        <w:rPr>
          <w:b/>
          <w:bCs/>
          <w:sz w:val="24"/>
          <w:szCs w:val="24"/>
        </w:rPr>
      </w:pPr>
    </w:p>
    <w:p w14:paraId="6736F5E4" w14:textId="3F9896F8" w:rsidR="004D0478" w:rsidRPr="00367E63" w:rsidRDefault="004D0478" w:rsidP="00F409B2">
      <w:pPr>
        <w:pStyle w:val="En-tte"/>
        <w:tabs>
          <w:tab w:val="clear" w:pos="4536"/>
          <w:tab w:val="clear" w:pos="9072"/>
          <w:tab w:val="right" w:pos="9000"/>
        </w:tabs>
        <w:rPr>
          <w:b/>
          <w:snapToGrid w:val="0"/>
          <w:color w:val="000000"/>
          <w:sz w:val="24"/>
        </w:rPr>
      </w:pPr>
      <w:r w:rsidRPr="00367E63">
        <w:rPr>
          <w:b/>
          <w:bCs/>
          <w:sz w:val="24"/>
          <w:szCs w:val="24"/>
        </w:rPr>
        <w:t>Press Release</w:t>
      </w:r>
      <w:r w:rsidR="000F1556" w:rsidRPr="00367E63">
        <w:rPr>
          <w:b/>
          <w:bCs/>
          <w:sz w:val="24"/>
          <w:szCs w:val="24"/>
        </w:rPr>
        <w:tab/>
      </w:r>
      <w:r w:rsidR="004F7E21" w:rsidRPr="00367E63">
        <w:rPr>
          <w:b/>
          <w:bCs/>
          <w:sz w:val="24"/>
          <w:szCs w:val="24"/>
        </w:rPr>
        <w:t xml:space="preserve">London, </w:t>
      </w:r>
      <w:r w:rsidR="003A3F4B" w:rsidRPr="00367E63">
        <w:rPr>
          <w:b/>
          <w:snapToGrid w:val="0"/>
          <w:color w:val="000000"/>
          <w:sz w:val="24"/>
        </w:rPr>
        <w:t>Nice,</w:t>
      </w:r>
      <w:r w:rsidR="00560A3B" w:rsidRPr="00367E63">
        <w:rPr>
          <w:b/>
          <w:snapToGrid w:val="0"/>
          <w:color w:val="000000"/>
          <w:sz w:val="24"/>
        </w:rPr>
        <w:t xml:space="preserve"> </w:t>
      </w:r>
      <w:r w:rsidR="00B22CF3" w:rsidRPr="00367E63">
        <w:rPr>
          <w:b/>
          <w:snapToGrid w:val="0"/>
          <w:color w:val="000000"/>
          <w:sz w:val="24"/>
        </w:rPr>
        <w:t xml:space="preserve">Paris, </w:t>
      </w:r>
      <w:r w:rsidR="00C97A7F">
        <w:rPr>
          <w:b/>
          <w:snapToGrid w:val="0"/>
          <w:color w:val="000000"/>
          <w:sz w:val="24"/>
        </w:rPr>
        <w:t xml:space="preserve">May </w:t>
      </w:r>
      <w:r w:rsidR="001C1EE8">
        <w:rPr>
          <w:b/>
          <w:snapToGrid w:val="0"/>
          <w:color w:val="000000"/>
          <w:sz w:val="24"/>
        </w:rPr>
        <w:t>1</w:t>
      </w:r>
      <w:r w:rsidR="00C93AE1">
        <w:rPr>
          <w:b/>
          <w:snapToGrid w:val="0"/>
          <w:color w:val="000000"/>
          <w:sz w:val="24"/>
        </w:rPr>
        <w:t>6</w:t>
      </w:r>
      <w:r w:rsidR="00D975ED" w:rsidRPr="00367E63">
        <w:rPr>
          <w:b/>
          <w:snapToGrid w:val="0"/>
          <w:color w:val="000000"/>
          <w:sz w:val="24"/>
        </w:rPr>
        <w:t>,</w:t>
      </w:r>
      <w:r w:rsidR="004540A3" w:rsidRPr="00367E63">
        <w:rPr>
          <w:b/>
          <w:snapToGrid w:val="0"/>
          <w:color w:val="000000"/>
          <w:sz w:val="24"/>
        </w:rPr>
        <w:t xml:space="preserve"> 20</w:t>
      </w:r>
      <w:r w:rsidR="00A76864" w:rsidRPr="00367E63">
        <w:rPr>
          <w:b/>
          <w:snapToGrid w:val="0"/>
          <w:color w:val="000000"/>
          <w:sz w:val="24"/>
        </w:rPr>
        <w:t>1</w:t>
      </w:r>
      <w:r w:rsidR="00C97A7F">
        <w:rPr>
          <w:b/>
          <w:snapToGrid w:val="0"/>
          <w:color w:val="000000"/>
          <w:sz w:val="24"/>
        </w:rPr>
        <w:t>9</w:t>
      </w:r>
    </w:p>
    <w:p w14:paraId="42840D76" w14:textId="77777777" w:rsidR="00AE5609" w:rsidRPr="00367E63" w:rsidRDefault="00AE5609" w:rsidP="00AE5609">
      <w:pPr>
        <w:autoSpaceDE w:val="0"/>
        <w:autoSpaceDN w:val="0"/>
        <w:adjustRightInd w:val="0"/>
        <w:spacing w:line="260" w:lineRule="atLeast"/>
        <w:rPr>
          <w:color w:val="000000"/>
          <w:sz w:val="22"/>
          <w:szCs w:val="22"/>
        </w:rPr>
      </w:pPr>
    </w:p>
    <w:p w14:paraId="5F053557" w14:textId="77777777" w:rsidR="00560A3B" w:rsidRPr="00367E63" w:rsidRDefault="00560A3B" w:rsidP="00AE5609">
      <w:pPr>
        <w:autoSpaceDE w:val="0"/>
        <w:autoSpaceDN w:val="0"/>
        <w:adjustRightInd w:val="0"/>
        <w:spacing w:line="260" w:lineRule="atLeast"/>
        <w:rPr>
          <w:color w:val="000000"/>
          <w:sz w:val="22"/>
          <w:szCs w:val="22"/>
        </w:rPr>
      </w:pPr>
    </w:p>
    <w:p w14:paraId="65DC43C3" w14:textId="77777777" w:rsidR="00533900" w:rsidRPr="00533900" w:rsidRDefault="00125E83" w:rsidP="00533900">
      <w:pPr>
        <w:autoSpaceDE w:val="0"/>
        <w:autoSpaceDN w:val="0"/>
        <w:adjustRightInd w:val="0"/>
        <w:spacing w:line="260" w:lineRule="atLeast"/>
        <w:jc w:val="center"/>
        <w:rPr>
          <w:b/>
          <w:sz w:val="34"/>
          <w:szCs w:val="34"/>
        </w:rPr>
      </w:pPr>
      <w:r>
        <w:rPr>
          <w:b/>
          <w:sz w:val="34"/>
          <w:szCs w:val="34"/>
        </w:rPr>
        <w:t>Factor investing in f</w:t>
      </w:r>
      <w:r w:rsidR="006C4B58">
        <w:rPr>
          <w:b/>
          <w:sz w:val="34"/>
          <w:szCs w:val="34"/>
        </w:rPr>
        <w:t>ix</w:t>
      </w:r>
      <w:r>
        <w:rPr>
          <w:b/>
          <w:sz w:val="34"/>
          <w:szCs w:val="34"/>
        </w:rPr>
        <w:t>ed-i</w:t>
      </w:r>
      <w:r w:rsidR="006C4B58">
        <w:rPr>
          <w:b/>
          <w:sz w:val="34"/>
          <w:szCs w:val="34"/>
        </w:rPr>
        <w:t xml:space="preserve">ncome: </w:t>
      </w:r>
      <w:r w:rsidR="00533900" w:rsidRPr="00533900">
        <w:rPr>
          <w:b/>
          <w:sz w:val="34"/>
          <w:szCs w:val="34"/>
        </w:rPr>
        <w:t>EDHEC-Risk Institute paper shows that it is possible to build duration-timing strategies that are economically superior to bear</w:t>
      </w:r>
      <w:r w:rsidR="00034224">
        <w:rPr>
          <w:b/>
          <w:sz w:val="34"/>
          <w:szCs w:val="34"/>
        </w:rPr>
        <w:t>ing unconditional duration risk</w:t>
      </w:r>
    </w:p>
    <w:p w14:paraId="4E208507" w14:textId="77777777" w:rsidR="00AE5609" w:rsidRPr="00367E63" w:rsidRDefault="00AE5609" w:rsidP="00713BB0">
      <w:pPr>
        <w:jc w:val="both"/>
        <w:rPr>
          <w:sz w:val="22"/>
          <w:szCs w:val="22"/>
        </w:rPr>
      </w:pPr>
    </w:p>
    <w:p w14:paraId="509C3AAE" w14:textId="77777777" w:rsidR="00B66FCF" w:rsidRDefault="00B66FCF" w:rsidP="00E75D2E">
      <w:pPr>
        <w:jc w:val="both"/>
      </w:pPr>
    </w:p>
    <w:p w14:paraId="1483F696" w14:textId="2D43662C" w:rsidR="00480E56" w:rsidRDefault="00213930" w:rsidP="00480E56">
      <w:pPr>
        <w:spacing w:line="280" w:lineRule="atLeast"/>
        <w:jc w:val="both"/>
        <w:rPr>
          <w:snapToGrid w:val="0"/>
          <w:color w:val="000000"/>
          <w:sz w:val="23"/>
          <w:szCs w:val="23"/>
        </w:rPr>
      </w:pPr>
      <w:r w:rsidRPr="007B2C42">
        <w:rPr>
          <w:snapToGrid w:val="0"/>
          <w:color w:val="000000"/>
          <w:sz w:val="23"/>
          <w:szCs w:val="23"/>
        </w:rPr>
        <w:t xml:space="preserve">The abundance of theoretical and empirical research on factor investing in the equity universe </w:t>
      </w:r>
      <w:r w:rsidR="00E21C77">
        <w:rPr>
          <w:snapToGrid w:val="0"/>
          <w:color w:val="000000"/>
          <w:sz w:val="23"/>
          <w:szCs w:val="23"/>
        </w:rPr>
        <w:t xml:space="preserve">contrasts strongly with </w:t>
      </w:r>
      <w:r w:rsidRPr="007B2C42">
        <w:rPr>
          <w:snapToGrid w:val="0"/>
          <w:color w:val="000000"/>
          <w:sz w:val="23"/>
          <w:szCs w:val="23"/>
        </w:rPr>
        <w:t xml:space="preserve">the relative scarcity of research </w:t>
      </w:r>
      <w:r w:rsidR="00480E56">
        <w:rPr>
          <w:snapToGrid w:val="0"/>
          <w:color w:val="000000"/>
          <w:sz w:val="23"/>
          <w:szCs w:val="23"/>
        </w:rPr>
        <w:t xml:space="preserve">on the existence and exploitability of </w:t>
      </w:r>
      <w:r w:rsidRPr="007B2C42">
        <w:rPr>
          <w:snapToGrid w:val="0"/>
          <w:color w:val="000000"/>
          <w:sz w:val="23"/>
          <w:szCs w:val="23"/>
        </w:rPr>
        <w:t xml:space="preserve">risk premia in bond markets. </w:t>
      </w:r>
      <w:r w:rsidR="00480E56">
        <w:rPr>
          <w:snapToGrid w:val="0"/>
          <w:color w:val="000000"/>
          <w:sz w:val="23"/>
          <w:szCs w:val="23"/>
        </w:rPr>
        <w:t>Recently</w:t>
      </w:r>
      <w:r w:rsidR="00731C32">
        <w:rPr>
          <w:snapToGrid w:val="0"/>
          <w:color w:val="000000"/>
          <w:sz w:val="23"/>
          <w:szCs w:val="23"/>
        </w:rPr>
        <w:t>,</w:t>
      </w:r>
      <w:r w:rsidR="00480E56" w:rsidRPr="007B2C42">
        <w:rPr>
          <w:snapToGrid w:val="0"/>
          <w:color w:val="000000"/>
          <w:sz w:val="23"/>
          <w:szCs w:val="23"/>
        </w:rPr>
        <w:t xml:space="preserve"> some managers </w:t>
      </w:r>
      <w:r w:rsidR="00480E56" w:rsidRPr="00455B88">
        <w:rPr>
          <w:snapToGrid w:val="0"/>
          <w:color w:val="000000"/>
          <w:sz w:val="23"/>
          <w:szCs w:val="23"/>
        </w:rPr>
        <w:t xml:space="preserve">have been focusing on risk premia in </w:t>
      </w:r>
      <w:r w:rsidR="00480E56">
        <w:rPr>
          <w:snapToGrid w:val="0"/>
          <w:color w:val="000000"/>
          <w:sz w:val="23"/>
          <w:szCs w:val="23"/>
        </w:rPr>
        <w:t xml:space="preserve">fixed income, </w:t>
      </w:r>
      <w:r w:rsidR="00480E56" w:rsidRPr="007B2C42">
        <w:rPr>
          <w:snapToGrid w:val="0"/>
          <w:color w:val="000000"/>
          <w:sz w:val="23"/>
          <w:szCs w:val="23"/>
        </w:rPr>
        <w:t xml:space="preserve">but the academic knowledge remains limited and it seems that it is not possible to apply the </w:t>
      </w:r>
      <w:r w:rsidR="00480E56">
        <w:rPr>
          <w:snapToGrid w:val="0"/>
          <w:color w:val="000000"/>
          <w:sz w:val="23"/>
          <w:szCs w:val="23"/>
        </w:rPr>
        <w:t xml:space="preserve">same </w:t>
      </w:r>
      <w:r w:rsidR="00480E56" w:rsidRPr="007B2C42">
        <w:rPr>
          <w:snapToGrid w:val="0"/>
          <w:color w:val="000000"/>
          <w:sz w:val="23"/>
          <w:szCs w:val="23"/>
        </w:rPr>
        <w:t xml:space="preserve">factors </w:t>
      </w:r>
      <w:r w:rsidR="00480E56">
        <w:rPr>
          <w:snapToGrid w:val="0"/>
          <w:color w:val="000000"/>
          <w:sz w:val="23"/>
          <w:szCs w:val="23"/>
        </w:rPr>
        <w:t>that have been identified for equities</w:t>
      </w:r>
      <w:r w:rsidR="00731C32">
        <w:rPr>
          <w:snapToGrid w:val="0"/>
          <w:color w:val="000000"/>
          <w:sz w:val="23"/>
          <w:szCs w:val="23"/>
        </w:rPr>
        <w:t xml:space="preserve"> in a straightforward way</w:t>
      </w:r>
      <w:r w:rsidR="00480E56">
        <w:rPr>
          <w:snapToGrid w:val="0"/>
          <w:color w:val="000000"/>
          <w:sz w:val="23"/>
          <w:szCs w:val="23"/>
        </w:rPr>
        <w:t>.</w:t>
      </w:r>
    </w:p>
    <w:p w14:paraId="25979603" w14:textId="77777777" w:rsidR="00480E56" w:rsidRDefault="00480E56" w:rsidP="00480E56">
      <w:pPr>
        <w:spacing w:line="280" w:lineRule="atLeast"/>
        <w:jc w:val="both"/>
        <w:rPr>
          <w:snapToGrid w:val="0"/>
          <w:color w:val="000000"/>
          <w:sz w:val="23"/>
          <w:szCs w:val="23"/>
        </w:rPr>
      </w:pPr>
    </w:p>
    <w:p w14:paraId="4362A970" w14:textId="5B4EB138" w:rsidR="00C97A7F" w:rsidRPr="007B2C42" w:rsidRDefault="009C3C80" w:rsidP="006C4B58">
      <w:pPr>
        <w:spacing w:line="280" w:lineRule="atLeast"/>
        <w:jc w:val="both"/>
        <w:rPr>
          <w:snapToGrid w:val="0"/>
          <w:color w:val="000000"/>
          <w:sz w:val="23"/>
          <w:szCs w:val="23"/>
        </w:rPr>
      </w:pPr>
      <w:r>
        <w:rPr>
          <w:snapToGrid w:val="0"/>
          <w:color w:val="000000"/>
          <w:sz w:val="23"/>
          <w:szCs w:val="23"/>
        </w:rPr>
        <w:t>I</w:t>
      </w:r>
      <w:r w:rsidR="00731C32">
        <w:rPr>
          <w:snapToGrid w:val="0"/>
          <w:color w:val="000000"/>
          <w:sz w:val="23"/>
          <w:szCs w:val="23"/>
        </w:rPr>
        <w:t xml:space="preserve">t is within this </w:t>
      </w:r>
      <w:r>
        <w:rPr>
          <w:snapToGrid w:val="0"/>
          <w:color w:val="000000"/>
          <w:sz w:val="23"/>
          <w:szCs w:val="23"/>
        </w:rPr>
        <w:t>context</w:t>
      </w:r>
      <w:r w:rsidR="00731C32">
        <w:rPr>
          <w:snapToGrid w:val="0"/>
          <w:color w:val="000000"/>
          <w:sz w:val="23"/>
          <w:szCs w:val="23"/>
        </w:rPr>
        <w:t xml:space="preserve"> that</w:t>
      </w:r>
      <w:r w:rsidR="00125E83">
        <w:rPr>
          <w:snapToGrid w:val="0"/>
          <w:color w:val="000000"/>
          <w:sz w:val="23"/>
          <w:szCs w:val="23"/>
        </w:rPr>
        <w:t xml:space="preserve"> </w:t>
      </w:r>
      <w:r w:rsidR="007B0232" w:rsidRPr="002C1F95">
        <w:rPr>
          <w:b/>
          <w:snapToGrid w:val="0"/>
          <w:color w:val="000000"/>
          <w:sz w:val="23"/>
          <w:szCs w:val="23"/>
        </w:rPr>
        <w:t xml:space="preserve">EDHEC-Risk Institute </w:t>
      </w:r>
      <w:r w:rsidR="00125E83" w:rsidRPr="002C1F95">
        <w:rPr>
          <w:b/>
          <w:snapToGrid w:val="0"/>
          <w:color w:val="000000"/>
          <w:sz w:val="23"/>
          <w:szCs w:val="23"/>
        </w:rPr>
        <w:t>has launched a dedicated research program</w:t>
      </w:r>
      <w:r w:rsidR="00731C32">
        <w:rPr>
          <w:b/>
          <w:snapToGrid w:val="0"/>
          <w:color w:val="000000"/>
          <w:sz w:val="23"/>
          <w:szCs w:val="23"/>
        </w:rPr>
        <w:t>me</w:t>
      </w:r>
      <w:r w:rsidR="00125E83" w:rsidRPr="002C1F95">
        <w:rPr>
          <w:b/>
          <w:snapToGrid w:val="0"/>
          <w:color w:val="000000"/>
          <w:sz w:val="23"/>
          <w:szCs w:val="23"/>
        </w:rPr>
        <w:t xml:space="preserve"> that </w:t>
      </w:r>
      <w:r w:rsidR="007B0232" w:rsidRPr="002C1F95">
        <w:rPr>
          <w:b/>
          <w:snapToGrid w:val="0"/>
          <w:color w:val="000000"/>
          <w:sz w:val="23"/>
          <w:szCs w:val="23"/>
        </w:rPr>
        <w:t xml:space="preserve">aims </w:t>
      </w:r>
      <w:r w:rsidR="00533900" w:rsidRPr="002C1F95">
        <w:rPr>
          <w:b/>
          <w:snapToGrid w:val="0"/>
          <w:color w:val="000000"/>
          <w:sz w:val="23"/>
          <w:szCs w:val="23"/>
        </w:rPr>
        <w:t xml:space="preserve">to </w:t>
      </w:r>
      <w:r w:rsidR="007D68A9" w:rsidRPr="002C1F95">
        <w:rPr>
          <w:b/>
          <w:snapToGrid w:val="0"/>
          <w:color w:val="000000"/>
          <w:sz w:val="23"/>
          <w:szCs w:val="23"/>
        </w:rPr>
        <w:t>broaden the concepts of factor-investing in bond markets</w:t>
      </w:r>
      <w:r w:rsidR="007D68A9">
        <w:rPr>
          <w:snapToGrid w:val="0"/>
          <w:color w:val="000000"/>
          <w:sz w:val="23"/>
          <w:szCs w:val="23"/>
        </w:rPr>
        <w:t xml:space="preserve"> by </w:t>
      </w:r>
      <w:r w:rsidR="00731C32">
        <w:rPr>
          <w:snapToGrid w:val="0"/>
          <w:color w:val="000000"/>
          <w:sz w:val="23"/>
          <w:szCs w:val="23"/>
        </w:rPr>
        <w:t xml:space="preserve">i) </w:t>
      </w:r>
      <w:r w:rsidR="007D68A9">
        <w:rPr>
          <w:snapToGrid w:val="0"/>
          <w:color w:val="000000"/>
          <w:sz w:val="23"/>
          <w:szCs w:val="23"/>
        </w:rPr>
        <w:t xml:space="preserve">analysing the risk factors that </w:t>
      </w:r>
      <w:r>
        <w:rPr>
          <w:snapToGrid w:val="0"/>
          <w:color w:val="000000"/>
          <w:sz w:val="23"/>
          <w:szCs w:val="23"/>
        </w:rPr>
        <w:t xml:space="preserve">drive </w:t>
      </w:r>
      <w:r w:rsidR="007D68A9">
        <w:rPr>
          <w:snapToGrid w:val="0"/>
          <w:color w:val="000000"/>
          <w:sz w:val="23"/>
          <w:szCs w:val="23"/>
        </w:rPr>
        <w:t>these universes, ii) finding whether they attract compensation or not, and iii) more generally, examining bond return predictability.</w:t>
      </w:r>
      <w:r w:rsidR="00533900">
        <w:rPr>
          <w:snapToGrid w:val="0"/>
          <w:color w:val="000000"/>
          <w:sz w:val="23"/>
          <w:szCs w:val="23"/>
        </w:rPr>
        <w:t xml:space="preserve"> </w:t>
      </w:r>
    </w:p>
    <w:p w14:paraId="3B0AF7F1" w14:textId="77777777" w:rsidR="00C97A7F" w:rsidRPr="007B2C42" w:rsidRDefault="00C97A7F" w:rsidP="00B66FCF">
      <w:pPr>
        <w:spacing w:line="280" w:lineRule="atLeast"/>
        <w:jc w:val="both"/>
        <w:rPr>
          <w:snapToGrid w:val="0"/>
          <w:color w:val="000000"/>
          <w:sz w:val="23"/>
          <w:szCs w:val="23"/>
        </w:rPr>
      </w:pPr>
    </w:p>
    <w:p w14:paraId="2ED6B29E" w14:textId="0ACA03C8" w:rsidR="00B66FCF" w:rsidRPr="007B2C42" w:rsidRDefault="00B66FCF" w:rsidP="006C4B58">
      <w:pPr>
        <w:spacing w:line="280" w:lineRule="atLeast"/>
        <w:jc w:val="both"/>
        <w:rPr>
          <w:snapToGrid w:val="0"/>
          <w:color w:val="000000"/>
          <w:sz w:val="23"/>
          <w:szCs w:val="23"/>
        </w:rPr>
      </w:pPr>
      <w:r w:rsidRPr="007B2C42">
        <w:rPr>
          <w:snapToGrid w:val="0"/>
          <w:color w:val="000000"/>
          <w:sz w:val="23"/>
          <w:szCs w:val="23"/>
        </w:rPr>
        <w:t>A new study produced as part of the Amundi</w:t>
      </w:r>
      <w:r w:rsidR="004B0EBA">
        <w:rPr>
          <w:snapToGrid w:val="0"/>
          <w:color w:val="000000"/>
          <w:sz w:val="23"/>
          <w:szCs w:val="23"/>
        </w:rPr>
        <w:t xml:space="preserve"> </w:t>
      </w:r>
      <w:r w:rsidRPr="007B2C42">
        <w:rPr>
          <w:snapToGrid w:val="0"/>
          <w:color w:val="000000"/>
          <w:sz w:val="23"/>
          <w:szCs w:val="23"/>
        </w:rPr>
        <w:t>research chair on “ETF, Index</w:t>
      </w:r>
      <w:r w:rsidR="00731C32">
        <w:rPr>
          <w:snapToGrid w:val="0"/>
          <w:color w:val="000000"/>
          <w:sz w:val="23"/>
          <w:szCs w:val="23"/>
        </w:rPr>
        <w:t>ing</w:t>
      </w:r>
      <w:r w:rsidRPr="007B2C42">
        <w:rPr>
          <w:snapToGrid w:val="0"/>
          <w:color w:val="000000"/>
          <w:sz w:val="23"/>
          <w:szCs w:val="23"/>
        </w:rPr>
        <w:t xml:space="preserve"> and Smart Beta Investment </w:t>
      </w:r>
      <w:r w:rsidR="00125E83">
        <w:rPr>
          <w:snapToGrid w:val="0"/>
          <w:color w:val="000000"/>
          <w:sz w:val="23"/>
          <w:szCs w:val="23"/>
        </w:rPr>
        <w:t xml:space="preserve">Strategies” </w:t>
      </w:r>
      <w:r w:rsidR="00125E83" w:rsidRPr="007D68A9">
        <w:rPr>
          <w:b/>
          <w:snapToGrid w:val="0"/>
          <w:color w:val="000000"/>
          <w:sz w:val="23"/>
          <w:szCs w:val="23"/>
        </w:rPr>
        <w:t>focus</w:t>
      </w:r>
      <w:r w:rsidR="00A401F5">
        <w:rPr>
          <w:b/>
          <w:snapToGrid w:val="0"/>
          <w:color w:val="000000"/>
          <w:sz w:val="23"/>
          <w:szCs w:val="23"/>
        </w:rPr>
        <w:t>es</w:t>
      </w:r>
      <w:r w:rsidR="00125E83" w:rsidRPr="007D68A9">
        <w:rPr>
          <w:b/>
          <w:snapToGrid w:val="0"/>
          <w:color w:val="000000"/>
          <w:sz w:val="23"/>
          <w:szCs w:val="23"/>
        </w:rPr>
        <w:t xml:space="preserve"> on the two </w:t>
      </w:r>
      <w:r w:rsidR="006C4B58" w:rsidRPr="007D68A9">
        <w:rPr>
          <w:b/>
          <w:snapToGrid w:val="0"/>
          <w:color w:val="000000"/>
          <w:sz w:val="23"/>
          <w:szCs w:val="23"/>
        </w:rPr>
        <w:t xml:space="preserve">factors </w:t>
      </w:r>
      <w:r w:rsidR="00125E83" w:rsidRPr="007D68A9">
        <w:rPr>
          <w:b/>
          <w:snapToGrid w:val="0"/>
          <w:color w:val="000000"/>
          <w:sz w:val="23"/>
          <w:szCs w:val="23"/>
        </w:rPr>
        <w:t xml:space="preserve">that explain a large fraction of differences over time in bond returns, namely </w:t>
      </w:r>
      <w:r w:rsidR="006C4B58" w:rsidRPr="007D68A9">
        <w:rPr>
          <w:b/>
          <w:snapToGrid w:val="0"/>
          <w:color w:val="000000"/>
          <w:sz w:val="23"/>
          <w:szCs w:val="23"/>
        </w:rPr>
        <w:t>the “level” or “slope” of the yield curve</w:t>
      </w:r>
      <w:r w:rsidR="006C4B58" w:rsidRPr="006C4B58">
        <w:rPr>
          <w:snapToGrid w:val="0"/>
          <w:color w:val="000000"/>
          <w:sz w:val="23"/>
          <w:szCs w:val="23"/>
        </w:rPr>
        <w:t>.</w:t>
      </w:r>
    </w:p>
    <w:p w14:paraId="7D8F179C" w14:textId="77777777" w:rsidR="00B66FCF" w:rsidRPr="007B2C42" w:rsidRDefault="00B66FCF" w:rsidP="00B66FCF">
      <w:pPr>
        <w:spacing w:line="280" w:lineRule="atLeast"/>
        <w:jc w:val="both"/>
        <w:rPr>
          <w:snapToGrid w:val="0"/>
          <w:color w:val="000000"/>
          <w:sz w:val="23"/>
          <w:szCs w:val="23"/>
        </w:rPr>
      </w:pPr>
    </w:p>
    <w:p w14:paraId="7589AF0F" w14:textId="74F19B4A" w:rsidR="00B66FCF" w:rsidRPr="007B2C42" w:rsidRDefault="00A45552" w:rsidP="00B66FCF">
      <w:pPr>
        <w:autoSpaceDE w:val="0"/>
        <w:autoSpaceDN w:val="0"/>
        <w:adjustRightInd w:val="0"/>
        <w:jc w:val="both"/>
        <w:rPr>
          <w:snapToGrid w:val="0"/>
          <w:color w:val="000000"/>
          <w:sz w:val="23"/>
          <w:szCs w:val="23"/>
        </w:rPr>
      </w:pPr>
      <w:r w:rsidRPr="005C35B9">
        <w:rPr>
          <w:snapToGrid w:val="0"/>
          <w:color w:val="000000"/>
          <w:sz w:val="23"/>
          <w:szCs w:val="23"/>
        </w:rPr>
        <w:t xml:space="preserve">Using </w:t>
      </w:r>
      <w:r>
        <w:rPr>
          <w:snapToGrid w:val="0"/>
          <w:color w:val="000000"/>
          <w:sz w:val="23"/>
          <w:szCs w:val="23"/>
        </w:rPr>
        <w:t xml:space="preserve">not only yield curve data but also </w:t>
      </w:r>
      <w:r w:rsidRPr="005C35B9">
        <w:rPr>
          <w:snapToGrid w:val="0"/>
          <w:color w:val="000000"/>
          <w:sz w:val="23"/>
          <w:szCs w:val="23"/>
        </w:rPr>
        <w:t>a comprehensive database of individual bond returns in the US over the 1973-2018 sample period</w:t>
      </w:r>
      <w:r w:rsidR="007D68A9">
        <w:rPr>
          <w:snapToGrid w:val="0"/>
          <w:color w:val="000000"/>
          <w:sz w:val="23"/>
          <w:szCs w:val="23"/>
        </w:rPr>
        <w:t xml:space="preserve">, </w:t>
      </w:r>
      <w:r>
        <w:rPr>
          <w:snapToGrid w:val="0"/>
          <w:color w:val="000000"/>
          <w:sz w:val="23"/>
          <w:szCs w:val="23"/>
        </w:rPr>
        <w:t>t</w:t>
      </w:r>
      <w:r w:rsidR="00B66FCF" w:rsidRPr="007B2C42">
        <w:rPr>
          <w:snapToGrid w:val="0"/>
          <w:color w:val="000000"/>
          <w:sz w:val="23"/>
          <w:szCs w:val="23"/>
        </w:rPr>
        <w:t>he publication</w:t>
      </w:r>
      <w:r w:rsidR="007D68A9">
        <w:rPr>
          <w:snapToGrid w:val="0"/>
          <w:color w:val="000000"/>
          <w:sz w:val="23"/>
          <w:szCs w:val="23"/>
        </w:rPr>
        <w:t xml:space="preserve"> </w:t>
      </w:r>
      <w:r w:rsidR="00B66FCF" w:rsidRPr="007B2C42">
        <w:rPr>
          <w:snapToGrid w:val="0"/>
          <w:color w:val="000000"/>
          <w:sz w:val="23"/>
          <w:szCs w:val="23"/>
        </w:rPr>
        <w:t>“</w:t>
      </w:r>
      <w:r w:rsidR="00B66FCF" w:rsidRPr="007B2C42">
        <w:rPr>
          <w:i/>
          <w:snapToGrid w:val="0"/>
          <w:color w:val="000000"/>
          <w:sz w:val="23"/>
          <w:szCs w:val="23"/>
        </w:rPr>
        <w:t xml:space="preserve">Factor Investing in Sovereign Bond Markets </w:t>
      </w:r>
      <w:r w:rsidR="004B0EBA">
        <w:rPr>
          <w:i/>
          <w:snapToGrid w:val="0"/>
          <w:color w:val="000000"/>
          <w:sz w:val="23"/>
          <w:szCs w:val="23"/>
        </w:rPr>
        <w:t>–</w:t>
      </w:r>
      <w:r w:rsidR="00B66FCF" w:rsidRPr="007B2C42">
        <w:rPr>
          <w:i/>
          <w:snapToGrid w:val="0"/>
          <w:color w:val="000000"/>
          <w:sz w:val="23"/>
          <w:szCs w:val="23"/>
        </w:rPr>
        <w:t xml:space="preserve"> </w:t>
      </w:r>
      <w:r w:rsidR="004B0EBA">
        <w:rPr>
          <w:i/>
          <w:snapToGrid w:val="0"/>
          <w:color w:val="000000"/>
          <w:sz w:val="23"/>
          <w:szCs w:val="23"/>
        </w:rPr>
        <w:t xml:space="preserve">A </w:t>
      </w:r>
      <w:r w:rsidR="00B66FCF" w:rsidRPr="007B2C42">
        <w:rPr>
          <w:i/>
          <w:snapToGrid w:val="0"/>
          <w:color w:val="000000"/>
          <w:sz w:val="23"/>
          <w:szCs w:val="23"/>
        </w:rPr>
        <w:t>Time-Series Perspective</w:t>
      </w:r>
      <w:r w:rsidR="00B66FCF" w:rsidRPr="007B2C42">
        <w:rPr>
          <w:snapToGrid w:val="0"/>
          <w:color w:val="000000"/>
          <w:sz w:val="23"/>
          <w:szCs w:val="23"/>
        </w:rPr>
        <w:t>”</w:t>
      </w:r>
      <w:r w:rsidR="00731C32">
        <w:rPr>
          <w:snapToGrid w:val="0"/>
          <w:color w:val="000000"/>
          <w:sz w:val="23"/>
          <w:szCs w:val="23"/>
        </w:rPr>
        <w:t>,</w:t>
      </w:r>
      <w:r w:rsidR="00B66FCF" w:rsidRPr="007B2C42">
        <w:rPr>
          <w:snapToGrid w:val="0"/>
          <w:color w:val="000000"/>
          <w:sz w:val="23"/>
          <w:szCs w:val="23"/>
        </w:rPr>
        <w:t xml:space="preserve"> </w:t>
      </w:r>
      <w:r w:rsidR="00213930" w:rsidRPr="007D68A9">
        <w:rPr>
          <w:b/>
          <w:snapToGrid w:val="0"/>
          <w:color w:val="000000"/>
          <w:sz w:val="23"/>
          <w:szCs w:val="23"/>
        </w:rPr>
        <w:t>explores whether it is possible to identify strategies</w:t>
      </w:r>
      <w:r w:rsidR="005C35B9" w:rsidRPr="007D68A9">
        <w:rPr>
          <w:b/>
          <w:snapToGrid w:val="0"/>
          <w:color w:val="000000"/>
          <w:sz w:val="23"/>
          <w:szCs w:val="23"/>
        </w:rPr>
        <w:t xml:space="preserve">, </w:t>
      </w:r>
      <w:r w:rsidR="00213930" w:rsidRPr="007D68A9">
        <w:rPr>
          <w:b/>
          <w:snapToGrid w:val="0"/>
          <w:color w:val="000000"/>
          <w:sz w:val="23"/>
          <w:szCs w:val="23"/>
        </w:rPr>
        <w:t xml:space="preserve">which, after transaction costs, generate excess returns </w:t>
      </w:r>
      <w:r w:rsidR="00B1296D" w:rsidRPr="007D68A9">
        <w:rPr>
          <w:b/>
          <w:snapToGrid w:val="0"/>
          <w:color w:val="000000"/>
          <w:sz w:val="23"/>
          <w:szCs w:val="23"/>
        </w:rPr>
        <w:t xml:space="preserve">by taking relevant signal-based </w:t>
      </w:r>
      <w:r w:rsidRPr="007D68A9">
        <w:rPr>
          <w:b/>
          <w:snapToGrid w:val="0"/>
          <w:color w:val="000000"/>
          <w:sz w:val="23"/>
          <w:szCs w:val="23"/>
        </w:rPr>
        <w:t xml:space="preserve">level or slope </w:t>
      </w:r>
      <w:r w:rsidR="00B1296D" w:rsidRPr="007D68A9">
        <w:rPr>
          <w:b/>
          <w:snapToGrid w:val="0"/>
          <w:color w:val="000000"/>
          <w:sz w:val="23"/>
          <w:szCs w:val="23"/>
        </w:rPr>
        <w:t xml:space="preserve">bets </w:t>
      </w:r>
      <w:r w:rsidR="00213930" w:rsidRPr="007D68A9">
        <w:rPr>
          <w:b/>
          <w:snapToGrid w:val="0"/>
          <w:color w:val="000000"/>
          <w:sz w:val="23"/>
          <w:szCs w:val="23"/>
        </w:rPr>
        <w:t xml:space="preserve">when investing in </w:t>
      </w:r>
      <w:r w:rsidR="001837C4" w:rsidRPr="007D68A9">
        <w:rPr>
          <w:b/>
          <w:snapToGrid w:val="0"/>
          <w:color w:val="000000"/>
          <w:sz w:val="23"/>
          <w:szCs w:val="23"/>
        </w:rPr>
        <w:t>a real US coupon bonds universe</w:t>
      </w:r>
      <w:r w:rsidR="007B0232" w:rsidRPr="007B2C42">
        <w:rPr>
          <w:snapToGrid w:val="0"/>
          <w:color w:val="000000"/>
          <w:sz w:val="23"/>
          <w:szCs w:val="23"/>
        </w:rPr>
        <w:t>.</w:t>
      </w:r>
    </w:p>
    <w:p w14:paraId="3E0DC829" w14:textId="77777777" w:rsidR="002E4524" w:rsidRPr="007B2C42" w:rsidRDefault="002E4524" w:rsidP="00B66FCF">
      <w:pPr>
        <w:autoSpaceDE w:val="0"/>
        <w:autoSpaceDN w:val="0"/>
        <w:adjustRightInd w:val="0"/>
        <w:jc w:val="both"/>
        <w:rPr>
          <w:snapToGrid w:val="0"/>
          <w:color w:val="000000"/>
          <w:sz w:val="23"/>
          <w:szCs w:val="23"/>
        </w:rPr>
      </w:pPr>
    </w:p>
    <w:p w14:paraId="31C4B486" w14:textId="77777777" w:rsidR="00B66FCF" w:rsidRPr="007B2C42" w:rsidRDefault="00B66FCF" w:rsidP="00B66FCF">
      <w:pPr>
        <w:spacing w:line="280" w:lineRule="atLeast"/>
        <w:jc w:val="both"/>
        <w:rPr>
          <w:snapToGrid w:val="0"/>
          <w:color w:val="000000"/>
          <w:sz w:val="23"/>
          <w:szCs w:val="23"/>
        </w:rPr>
      </w:pPr>
      <w:r w:rsidRPr="007B2C42">
        <w:rPr>
          <w:snapToGrid w:val="0"/>
          <w:color w:val="000000"/>
          <w:sz w:val="23"/>
          <w:szCs w:val="23"/>
        </w:rPr>
        <w:t xml:space="preserve">The authors of the study, Jean-Michel Maeso, Lionel Martellini and Riccardo Rebonato, draw </w:t>
      </w:r>
      <w:r w:rsidR="00C97A7F" w:rsidRPr="007B2C42">
        <w:rPr>
          <w:snapToGrid w:val="0"/>
          <w:color w:val="000000"/>
          <w:sz w:val="23"/>
          <w:szCs w:val="23"/>
        </w:rPr>
        <w:t>three</w:t>
      </w:r>
      <w:r w:rsidRPr="007B2C42">
        <w:rPr>
          <w:snapToGrid w:val="0"/>
          <w:color w:val="000000"/>
          <w:sz w:val="23"/>
          <w:szCs w:val="23"/>
        </w:rPr>
        <w:t xml:space="preserve"> major conclusions from their work:</w:t>
      </w:r>
    </w:p>
    <w:p w14:paraId="624E342C" w14:textId="77777777" w:rsidR="00213930" w:rsidRPr="007B2C42" w:rsidRDefault="00213930" w:rsidP="00B66FCF">
      <w:pPr>
        <w:spacing w:line="280" w:lineRule="atLeast"/>
        <w:jc w:val="both"/>
        <w:rPr>
          <w:snapToGrid w:val="0"/>
          <w:color w:val="000000"/>
          <w:sz w:val="23"/>
          <w:szCs w:val="23"/>
        </w:rPr>
      </w:pPr>
    </w:p>
    <w:p w14:paraId="6D345E5D" w14:textId="5B707658" w:rsidR="00B73D40" w:rsidRPr="005C35B9" w:rsidRDefault="00A45552" w:rsidP="002E4524">
      <w:pPr>
        <w:pStyle w:val="Paragraphedeliste"/>
        <w:numPr>
          <w:ilvl w:val="0"/>
          <w:numId w:val="19"/>
        </w:numPr>
        <w:spacing w:line="280" w:lineRule="atLeast"/>
        <w:rPr>
          <w:rFonts w:ascii="Times New Roman" w:eastAsia="Times New Roman" w:hAnsi="Times New Roman" w:cs="Times New Roman"/>
          <w:snapToGrid w:val="0"/>
          <w:color w:val="000000"/>
          <w:sz w:val="23"/>
          <w:szCs w:val="23"/>
          <w:lang w:eastAsia="fr-FR"/>
        </w:rPr>
      </w:pPr>
      <w:r>
        <w:rPr>
          <w:rFonts w:ascii="Times New Roman" w:eastAsia="Times New Roman" w:hAnsi="Times New Roman" w:cs="Times New Roman"/>
          <w:snapToGrid w:val="0"/>
          <w:color w:val="000000"/>
          <w:sz w:val="23"/>
          <w:szCs w:val="23"/>
          <w:lang w:eastAsia="fr-FR"/>
        </w:rPr>
        <w:t>They</w:t>
      </w:r>
      <w:r w:rsidRPr="005C35B9">
        <w:rPr>
          <w:rFonts w:ascii="Times New Roman" w:eastAsia="Times New Roman" w:hAnsi="Times New Roman" w:cs="Times New Roman"/>
          <w:snapToGrid w:val="0"/>
          <w:color w:val="000000"/>
          <w:sz w:val="23"/>
          <w:szCs w:val="23"/>
          <w:lang w:eastAsia="fr-FR"/>
        </w:rPr>
        <w:t xml:space="preserve"> </w:t>
      </w:r>
      <w:r w:rsidR="001837C4" w:rsidRPr="005C35B9">
        <w:rPr>
          <w:rFonts w:ascii="Times New Roman" w:eastAsia="Times New Roman" w:hAnsi="Times New Roman" w:cs="Times New Roman"/>
          <w:snapToGrid w:val="0"/>
          <w:color w:val="000000"/>
          <w:sz w:val="23"/>
          <w:szCs w:val="23"/>
          <w:lang w:eastAsia="fr-FR"/>
        </w:rPr>
        <w:t xml:space="preserve">confirm the </w:t>
      </w:r>
      <w:r w:rsidR="00B73D40" w:rsidRPr="005C35B9">
        <w:rPr>
          <w:rFonts w:ascii="Times New Roman" w:eastAsia="Times New Roman" w:hAnsi="Times New Roman" w:cs="Times New Roman"/>
          <w:snapToGrid w:val="0"/>
          <w:color w:val="000000"/>
          <w:sz w:val="23"/>
          <w:szCs w:val="23"/>
          <w:lang w:eastAsia="fr-FR"/>
        </w:rPr>
        <w:t xml:space="preserve">ﬁnding that long-term bonds do appear to oﬀer a higher unconditional excess return over short-term rates, an excess return </w:t>
      </w:r>
      <w:r w:rsidR="00731C32">
        <w:rPr>
          <w:rFonts w:ascii="Times New Roman" w:eastAsia="Times New Roman" w:hAnsi="Times New Roman" w:cs="Times New Roman"/>
          <w:snapToGrid w:val="0"/>
          <w:color w:val="000000"/>
          <w:sz w:val="23"/>
          <w:szCs w:val="23"/>
          <w:lang w:eastAsia="fr-FR"/>
        </w:rPr>
        <w:t xml:space="preserve">that </w:t>
      </w:r>
      <w:r w:rsidR="00B73D40" w:rsidRPr="005C35B9">
        <w:rPr>
          <w:rFonts w:ascii="Times New Roman" w:eastAsia="Times New Roman" w:hAnsi="Times New Roman" w:cs="Times New Roman"/>
          <w:snapToGrid w:val="0"/>
          <w:color w:val="000000"/>
          <w:sz w:val="23"/>
          <w:szCs w:val="23"/>
          <w:lang w:eastAsia="fr-FR"/>
        </w:rPr>
        <w:t>is also known as the bond risk premium</w:t>
      </w:r>
      <w:r w:rsidR="00731C32">
        <w:rPr>
          <w:rFonts w:ascii="Times New Roman" w:eastAsia="Times New Roman" w:hAnsi="Times New Roman" w:cs="Times New Roman"/>
          <w:snapToGrid w:val="0"/>
          <w:color w:val="000000"/>
          <w:sz w:val="23"/>
          <w:szCs w:val="23"/>
          <w:lang w:eastAsia="fr-FR"/>
        </w:rPr>
        <w:t>;</w:t>
      </w:r>
    </w:p>
    <w:p w14:paraId="0D150296" w14:textId="77777777" w:rsidR="001837C4" w:rsidRPr="005C35B9" w:rsidRDefault="001837C4" w:rsidP="001837C4">
      <w:pPr>
        <w:pStyle w:val="Paragraphedeliste"/>
        <w:spacing w:line="280" w:lineRule="atLeast"/>
        <w:rPr>
          <w:rFonts w:ascii="Times New Roman" w:eastAsia="Times New Roman" w:hAnsi="Times New Roman" w:cs="Times New Roman"/>
          <w:snapToGrid w:val="0"/>
          <w:color w:val="000000"/>
          <w:sz w:val="23"/>
          <w:szCs w:val="23"/>
          <w:lang w:eastAsia="fr-FR"/>
        </w:rPr>
      </w:pPr>
    </w:p>
    <w:p w14:paraId="7A10DE13" w14:textId="2D45032A" w:rsidR="00B50169" w:rsidRPr="005C35B9" w:rsidRDefault="00A45552" w:rsidP="009C3C80">
      <w:pPr>
        <w:pStyle w:val="Paragraphedeliste"/>
        <w:numPr>
          <w:ilvl w:val="0"/>
          <w:numId w:val="17"/>
        </w:numPr>
        <w:spacing w:line="280" w:lineRule="atLeast"/>
        <w:rPr>
          <w:rFonts w:ascii="Times New Roman" w:eastAsia="Times New Roman" w:hAnsi="Times New Roman" w:cs="Times New Roman"/>
          <w:snapToGrid w:val="0"/>
          <w:color w:val="000000"/>
          <w:sz w:val="23"/>
          <w:szCs w:val="23"/>
          <w:lang w:eastAsia="fr-FR"/>
        </w:rPr>
      </w:pPr>
      <w:r>
        <w:rPr>
          <w:rFonts w:ascii="Times New Roman" w:eastAsia="Times New Roman" w:hAnsi="Times New Roman" w:cs="Times New Roman"/>
          <w:snapToGrid w:val="0"/>
          <w:color w:val="000000"/>
          <w:sz w:val="23"/>
          <w:szCs w:val="23"/>
          <w:lang w:eastAsia="fr-FR"/>
        </w:rPr>
        <w:t>They</w:t>
      </w:r>
      <w:r w:rsidRPr="005C35B9">
        <w:rPr>
          <w:rFonts w:ascii="Times New Roman" w:eastAsia="Times New Roman" w:hAnsi="Times New Roman" w:cs="Times New Roman"/>
          <w:snapToGrid w:val="0"/>
          <w:color w:val="000000"/>
          <w:sz w:val="23"/>
          <w:szCs w:val="23"/>
          <w:lang w:eastAsia="fr-FR"/>
        </w:rPr>
        <w:t xml:space="preserve"> </w:t>
      </w:r>
      <w:r w:rsidR="00B50169" w:rsidRPr="005C35B9">
        <w:rPr>
          <w:rFonts w:ascii="Times New Roman" w:eastAsia="Times New Roman" w:hAnsi="Times New Roman" w:cs="Times New Roman"/>
          <w:snapToGrid w:val="0"/>
          <w:color w:val="000000"/>
          <w:sz w:val="23"/>
          <w:szCs w:val="23"/>
          <w:lang w:eastAsia="fr-FR"/>
        </w:rPr>
        <w:t xml:space="preserve">find that a conditional version of a carry strategy based upon a time-varying exposure to the level </w:t>
      </w:r>
      <w:r w:rsidR="009C3C80" w:rsidRPr="009C3C80">
        <w:rPr>
          <w:rFonts w:ascii="Times New Roman" w:eastAsia="Times New Roman" w:hAnsi="Times New Roman" w:cs="Times New Roman"/>
          <w:snapToGrid w:val="0"/>
          <w:color w:val="000000"/>
          <w:sz w:val="23"/>
          <w:szCs w:val="23"/>
          <w:lang w:eastAsia="fr-FR"/>
        </w:rPr>
        <w:t>of the yield curve</w:t>
      </w:r>
      <w:r w:rsidR="009C3C80" w:rsidRPr="009C3C80" w:rsidDel="009C3C80">
        <w:rPr>
          <w:rFonts w:ascii="Times New Roman" w:eastAsia="Times New Roman" w:hAnsi="Times New Roman" w:cs="Times New Roman"/>
          <w:snapToGrid w:val="0"/>
          <w:color w:val="000000"/>
          <w:sz w:val="23"/>
          <w:szCs w:val="23"/>
          <w:lang w:eastAsia="fr-FR"/>
        </w:rPr>
        <w:t xml:space="preserve"> </w:t>
      </w:r>
      <w:r w:rsidR="00B50169" w:rsidRPr="005C35B9">
        <w:rPr>
          <w:rFonts w:ascii="Times New Roman" w:eastAsia="Times New Roman" w:hAnsi="Times New Roman" w:cs="Times New Roman"/>
          <w:snapToGrid w:val="0"/>
          <w:color w:val="000000"/>
          <w:sz w:val="23"/>
          <w:szCs w:val="23"/>
          <w:lang w:eastAsia="fr-FR"/>
        </w:rPr>
        <w:t xml:space="preserve">can generate up to 200 basis points </w:t>
      </w:r>
      <w:r w:rsidR="00731C32">
        <w:rPr>
          <w:rFonts w:ascii="Times New Roman" w:eastAsia="Times New Roman" w:hAnsi="Times New Roman" w:cs="Times New Roman"/>
          <w:snapToGrid w:val="0"/>
          <w:color w:val="000000"/>
          <w:sz w:val="23"/>
          <w:szCs w:val="23"/>
          <w:lang w:eastAsia="fr-FR"/>
        </w:rPr>
        <w:t xml:space="preserve">of </w:t>
      </w:r>
      <w:r w:rsidR="00B50169" w:rsidRPr="005C35B9">
        <w:rPr>
          <w:rFonts w:ascii="Times New Roman" w:eastAsia="Times New Roman" w:hAnsi="Times New Roman" w:cs="Times New Roman"/>
          <w:snapToGrid w:val="0"/>
          <w:color w:val="000000"/>
          <w:sz w:val="23"/>
          <w:szCs w:val="23"/>
          <w:lang w:eastAsia="fr-FR"/>
        </w:rPr>
        <w:t>excess performance</w:t>
      </w:r>
      <w:r w:rsidR="00731C32">
        <w:rPr>
          <w:rFonts w:ascii="Times New Roman" w:eastAsia="Times New Roman" w:hAnsi="Times New Roman" w:cs="Times New Roman"/>
          <w:snapToGrid w:val="0"/>
          <w:color w:val="000000"/>
          <w:sz w:val="23"/>
          <w:szCs w:val="23"/>
          <w:lang w:eastAsia="fr-FR"/>
        </w:rPr>
        <w:t>;</w:t>
      </w:r>
    </w:p>
    <w:p w14:paraId="742477D5" w14:textId="77777777" w:rsidR="00B50169" w:rsidRPr="005C35B9" w:rsidRDefault="00B50169" w:rsidP="00A37967">
      <w:pPr>
        <w:pStyle w:val="Paragraphedeliste"/>
        <w:spacing w:line="280" w:lineRule="atLeast"/>
        <w:rPr>
          <w:rFonts w:ascii="Times New Roman" w:eastAsia="Times New Roman" w:hAnsi="Times New Roman" w:cs="Times New Roman"/>
          <w:snapToGrid w:val="0"/>
          <w:color w:val="000000"/>
          <w:sz w:val="23"/>
          <w:szCs w:val="23"/>
          <w:lang w:eastAsia="fr-FR"/>
        </w:rPr>
      </w:pPr>
    </w:p>
    <w:p w14:paraId="36162D2D" w14:textId="0445589F" w:rsidR="00B66FCF" w:rsidRPr="005C35B9" w:rsidRDefault="00A45552" w:rsidP="00B66FCF">
      <w:pPr>
        <w:pStyle w:val="Paragraphedeliste"/>
        <w:numPr>
          <w:ilvl w:val="0"/>
          <w:numId w:val="17"/>
        </w:numPr>
        <w:spacing w:before="240" w:after="0" w:line="280" w:lineRule="atLeast"/>
        <w:ind w:left="714" w:hanging="357"/>
        <w:contextualSpacing w:val="0"/>
        <w:rPr>
          <w:rFonts w:ascii="Times New Roman" w:eastAsia="Times New Roman" w:hAnsi="Times New Roman" w:cs="Times New Roman"/>
          <w:snapToGrid w:val="0"/>
          <w:color w:val="000000"/>
          <w:sz w:val="23"/>
          <w:szCs w:val="23"/>
          <w:lang w:eastAsia="fr-FR"/>
        </w:rPr>
      </w:pPr>
      <w:r>
        <w:rPr>
          <w:rFonts w:ascii="Times New Roman" w:eastAsia="Times New Roman" w:hAnsi="Times New Roman" w:cs="Times New Roman"/>
          <w:snapToGrid w:val="0"/>
          <w:color w:val="000000"/>
          <w:sz w:val="23"/>
          <w:szCs w:val="23"/>
          <w:lang w:eastAsia="fr-FR"/>
        </w:rPr>
        <w:t xml:space="preserve">They also find </w:t>
      </w:r>
      <w:r w:rsidR="00213930" w:rsidRPr="005C35B9">
        <w:rPr>
          <w:rFonts w:ascii="Times New Roman" w:eastAsia="Times New Roman" w:hAnsi="Times New Roman" w:cs="Times New Roman"/>
          <w:snapToGrid w:val="0"/>
          <w:color w:val="000000"/>
          <w:sz w:val="23"/>
          <w:szCs w:val="23"/>
          <w:lang w:eastAsia="fr-FR"/>
        </w:rPr>
        <w:t xml:space="preserve">that a conditional version of a flattener strategy based upon a time-varying exposure to the </w:t>
      </w:r>
      <w:r>
        <w:rPr>
          <w:rFonts w:ascii="Times New Roman" w:eastAsia="Times New Roman" w:hAnsi="Times New Roman" w:cs="Times New Roman"/>
          <w:snapToGrid w:val="0"/>
          <w:color w:val="000000"/>
          <w:sz w:val="23"/>
          <w:szCs w:val="23"/>
          <w:lang w:eastAsia="fr-FR"/>
        </w:rPr>
        <w:t>slope</w:t>
      </w:r>
      <w:r w:rsidRPr="005C35B9">
        <w:rPr>
          <w:rFonts w:ascii="Times New Roman" w:eastAsia="Times New Roman" w:hAnsi="Times New Roman" w:cs="Times New Roman"/>
          <w:snapToGrid w:val="0"/>
          <w:color w:val="000000"/>
          <w:sz w:val="23"/>
          <w:szCs w:val="23"/>
          <w:lang w:eastAsia="fr-FR"/>
        </w:rPr>
        <w:t xml:space="preserve"> </w:t>
      </w:r>
      <w:r w:rsidR="009C3C80" w:rsidRPr="009C3C80">
        <w:rPr>
          <w:rFonts w:ascii="Times New Roman" w:eastAsia="Times New Roman" w:hAnsi="Times New Roman" w:cs="Times New Roman"/>
          <w:snapToGrid w:val="0"/>
          <w:color w:val="000000"/>
          <w:sz w:val="23"/>
          <w:szCs w:val="23"/>
          <w:lang w:eastAsia="fr-FR"/>
        </w:rPr>
        <w:t>of the yield curve</w:t>
      </w:r>
      <w:r w:rsidR="009C3C80" w:rsidRPr="009C3C80" w:rsidDel="009C3C80">
        <w:rPr>
          <w:rFonts w:ascii="Times New Roman" w:eastAsia="Times New Roman" w:hAnsi="Times New Roman" w:cs="Times New Roman"/>
          <w:snapToGrid w:val="0"/>
          <w:color w:val="000000"/>
          <w:sz w:val="23"/>
          <w:szCs w:val="23"/>
          <w:lang w:eastAsia="fr-FR"/>
        </w:rPr>
        <w:t xml:space="preserve"> </w:t>
      </w:r>
      <w:r w:rsidR="00213930" w:rsidRPr="005C35B9">
        <w:rPr>
          <w:rFonts w:ascii="Times New Roman" w:eastAsia="Times New Roman" w:hAnsi="Times New Roman" w:cs="Times New Roman"/>
          <w:snapToGrid w:val="0"/>
          <w:color w:val="000000"/>
          <w:sz w:val="23"/>
          <w:szCs w:val="23"/>
          <w:lang w:eastAsia="fr-FR"/>
        </w:rPr>
        <w:t>can generate economically</w:t>
      </w:r>
      <w:r w:rsidR="00731C32">
        <w:rPr>
          <w:rFonts w:ascii="Times New Roman" w:eastAsia="Times New Roman" w:hAnsi="Times New Roman" w:cs="Times New Roman"/>
          <w:snapToGrid w:val="0"/>
          <w:color w:val="000000"/>
          <w:sz w:val="23"/>
          <w:szCs w:val="23"/>
          <w:lang w:eastAsia="fr-FR"/>
        </w:rPr>
        <w:t>-</w:t>
      </w:r>
      <w:r w:rsidR="00213930" w:rsidRPr="005C35B9">
        <w:rPr>
          <w:rFonts w:ascii="Times New Roman" w:eastAsia="Times New Roman" w:hAnsi="Times New Roman" w:cs="Times New Roman"/>
          <w:snapToGrid w:val="0"/>
          <w:color w:val="000000"/>
          <w:sz w:val="23"/>
          <w:szCs w:val="23"/>
          <w:lang w:eastAsia="fr-FR"/>
        </w:rPr>
        <w:t xml:space="preserve">significant additional </w:t>
      </w:r>
      <w:r w:rsidR="00B73D40" w:rsidRPr="005C35B9">
        <w:rPr>
          <w:rFonts w:ascii="Times New Roman" w:eastAsia="Times New Roman" w:hAnsi="Times New Roman" w:cs="Times New Roman"/>
          <w:snapToGrid w:val="0"/>
          <w:color w:val="000000"/>
          <w:sz w:val="23"/>
          <w:szCs w:val="23"/>
          <w:lang w:eastAsia="fr-FR"/>
        </w:rPr>
        <w:t>performance</w:t>
      </w:r>
      <w:r w:rsidR="002E4524" w:rsidRPr="005C35B9">
        <w:rPr>
          <w:rFonts w:ascii="Times New Roman" w:eastAsia="Times New Roman" w:hAnsi="Times New Roman" w:cs="Times New Roman"/>
          <w:snapToGrid w:val="0"/>
          <w:color w:val="000000"/>
          <w:sz w:val="23"/>
          <w:szCs w:val="23"/>
          <w:lang w:eastAsia="fr-FR"/>
        </w:rPr>
        <w:t>, even though such excess performance is limited in implementation by the presence of leverage constraints</w:t>
      </w:r>
      <w:r w:rsidR="001837C4" w:rsidRPr="005C35B9">
        <w:rPr>
          <w:rFonts w:ascii="Times New Roman" w:eastAsia="Times New Roman" w:hAnsi="Times New Roman" w:cs="Times New Roman"/>
          <w:snapToGrid w:val="0"/>
          <w:color w:val="000000"/>
          <w:sz w:val="23"/>
          <w:szCs w:val="23"/>
          <w:lang w:eastAsia="fr-FR"/>
        </w:rPr>
        <w:t>.</w:t>
      </w:r>
    </w:p>
    <w:p w14:paraId="0BCFE880" w14:textId="77777777" w:rsidR="007C18BD" w:rsidRPr="005C35B9" w:rsidRDefault="007C18BD" w:rsidP="007C18BD">
      <w:pPr>
        <w:pStyle w:val="Paragraphedeliste"/>
        <w:rPr>
          <w:rFonts w:ascii="Times New Roman" w:eastAsia="Times New Roman" w:hAnsi="Times New Roman" w:cs="Times New Roman"/>
          <w:snapToGrid w:val="0"/>
          <w:color w:val="000000"/>
          <w:sz w:val="23"/>
          <w:szCs w:val="23"/>
          <w:lang w:eastAsia="fr-FR"/>
        </w:rPr>
      </w:pPr>
    </w:p>
    <w:p w14:paraId="42171F1D" w14:textId="77777777" w:rsidR="002E4524" w:rsidRPr="007B2C42" w:rsidRDefault="002E4524" w:rsidP="002E4524">
      <w:pPr>
        <w:pStyle w:val="Paragraphedeliste"/>
        <w:rPr>
          <w:rFonts w:ascii="Times New Roman" w:hAnsi="Times New Roman" w:cs="Times New Roman"/>
          <w:snapToGrid w:val="0"/>
          <w:color w:val="000000"/>
          <w:sz w:val="23"/>
          <w:szCs w:val="23"/>
        </w:rPr>
      </w:pPr>
    </w:p>
    <w:p w14:paraId="5B4AB695" w14:textId="73656E00" w:rsidR="00435380" w:rsidRPr="00435380" w:rsidRDefault="00435380" w:rsidP="00435380">
      <w:pPr>
        <w:jc w:val="both"/>
        <w:rPr>
          <w:lang w:val="en-US"/>
        </w:rPr>
      </w:pPr>
      <w:r>
        <w:rPr>
          <w:snapToGrid w:val="0"/>
          <w:color w:val="000000"/>
          <w:sz w:val="23"/>
          <w:szCs w:val="23"/>
        </w:rPr>
        <w:lastRenderedPageBreak/>
        <w:t xml:space="preserve">Commenting on this research, Riccardo Rebonato, Professor of Finance at EDHEC-Risk Institute, EDHEC Business School, said “Equity markets are notoriously difficult to time, but, as the factor literature </w:t>
      </w:r>
      <w:r w:rsidRPr="00C93AE1">
        <w:rPr>
          <w:snapToGrid w:val="0"/>
          <w:color w:val="000000" w:themeColor="text1"/>
          <w:sz w:val="23"/>
          <w:szCs w:val="23"/>
        </w:rPr>
        <w:t>h</w:t>
      </w:r>
      <w:r w:rsidRPr="00C93AE1">
        <w:rPr>
          <w:snapToGrid w:val="0"/>
          <w:color w:val="000000"/>
          <w:sz w:val="23"/>
          <w:szCs w:val="23"/>
        </w:rPr>
        <w:t>as</w:t>
      </w:r>
      <w:r>
        <w:rPr>
          <w:snapToGrid w:val="0"/>
          <w:color w:val="000000"/>
          <w:sz w:val="23"/>
          <w:szCs w:val="23"/>
        </w:rPr>
        <w:t xml:space="preserve"> shown us for over 20 years, lend themselves to relative positioning. Treasury markets are, in a sense, their mirror image: relative trading is possible, but hard</w:t>
      </w:r>
      <w:r w:rsidR="00731C32">
        <w:rPr>
          <w:snapToGrid w:val="0"/>
          <w:color w:val="000000"/>
          <w:sz w:val="23"/>
          <w:szCs w:val="23"/>
        </w:rPr>
        <w:t>.</w:t>
      </w:r>
      <w:r>
        <w:rPr>
          <w:snapToGrid w:val="0"/>
          <w:color w:val="000000"/>
          <w:sz w:val="23"/>
          <w:szCs w:val="23"/>
        </w:rPr>
        <w:t xml:space="preserve"> </w:t>
      </w:r>
      <w:r w:rsidR="00731C32">
        <w:rPr>
          <w:snapToGrid w:val="0"/>
          <w:color w:val="000000"/>
          <w:sz w:val="23"/>
          <w:szCs w:val="23"/>
        </w:rPr>
        <w:t>However</w:t>
      </w:r>
      <w:r>
        <w:rPr>
          <w:snapToGrid w:val="0"/>
          <w:color w:val="000000"/>
          <w:sz w:val="23"/>
          <w:szCs w:val="23"/>
        </w:rPr>
        <w:t xml:space="preserve">, evidence is mounting that new-generation factors can allow the timing of duration and slope exposure. This is an exciting new field, </w:t>
      </w:r>
      <w:r>
        <w:t>in which EDHEC-Risk Institute ambitions to position itself as a thought leader</w:t>
      </w:r>
      <w:r>
        <w:rPr>
          <w:snapToGrid w:val="0"/>
          <w:color w:val="000000"/>
          <w:sz w:val="23"/>
          <w:szCs w:val="23"/>
        </w:rPr>
        <w:t>”</w:t>
      </w:r>
      <w:r w:rsidR="00731C32">
        <w:rPr>
          <w:snapToGrid w:val="0"/>
          <w:color w:val="000000"/>
          <w:sz w:val="23"/>
          <w:szCs w:val="23"/>
        </w:rPr>
        <w:t>.</w:t>
      </w:r>
      <w:r>
        <w:rPr>
          <w:rFonts w:ascii="Calibri" w:hAnsi="Calibri" w:cs="Calibri"/>
          <w:color w:val="1F497D"/>
          <w:sz w:val="22"/>
          <w:szCs w:val="22"/>
          <w:lang w:eastAsia="en-US"/>
        </w:rPr>
        <w:t xml:space="preserve"> </w:t>
      </w:r>
    </w:p>
    <w:p w14:paraId="11A61A05" w14:textId="77777777" w:rsidR="00E92E6B" w:rsidRDefault="00E92E6B" w:rsidP="00E92E6B">
      <w:pPr>
        <w:spacing w:line="280" w:lineRule="atLeast"/>
        <w:jc w:val="both"/>
        <w:rPr>
          <w:snapToGrid w:val="0"/>
          <w:color w:val="000000"/>
          <w:sz w:val="23"/>
          <w:szCs w:val="23"/>
        </w:rPr>
      </w:pPr>
    </w:p>
    <w:p w14:paraId="62089272" w14:textId="1539F694" w:rsidR="00F52B83" w:rsidRDefault="00F52B83" w:rsidP="00F52B83">
      <w:pPr>
        <w:rPr>
          <w:snapToGrid w:val="0"/>
          <w:color w:val="000000"/>
          <w:sz w:val="23"/>
          <w:szCs w:val="23"/>
          <w:lang w:val="en-US"/>
        </w:rPr>
      </w:pPr>
      <w:r>
        <w:rPr>
          <w:snapToGrid w:val="0"/>
          <w:color w:val="000000"/>
          <w:sz w:val="23"/>
          <w:szCs w:val="23"/>
          <w:lang w:val="en-US"/>
        </w:rPr>
        <w:t xml:space="preserve">Bruno Taillardat, Head of Smart Beta &amp; Factor Investing at Amundi, </w:t>
      </w:r>
      <w:r w:rsidR="00731C32">
        <w:rPr>
          <w:snapToGrid w:val="0"/>
          <w:color w:val="000000"/>
          <w:sz w:val="23"/>
          <w:szCs w:val="23"/>
          <w:lang w:val="en-US"/>
        </w:rPr>
        <w:t xml:space="preserve">added his thoughts: </w:t>
      </w:r>
      <w:r>
        <w:rPr>
          <w:snapToGrid w:val="0"/>
          <w:color w:val="000000"/>
          <w:sz w:val="23"/>
          <w:szCs w:val="23"/>
          <w:lang w:val="en-US"/>
        </w:rPr>
        <w:t>“Demand from investors to apply factors to the fixed income asset class is growing rapidly, opening a new phase for the industry. Since factor-based solutions are not yet as developed on this side as they are on equities, we are delighted to support the EDHEC-Risk Institute with this new academic research, to drive investors’ education, better understand factor investing in fixed income and build the right investment solutions.”</w:t>
      </w:r>
    </w:p>
    <w:p w14:paraId="2C40F015" w14:textId="20AC7228" w:rsidR="009752DC" w:rsidRDefault="009752DC" w:rsidP="00E92E6B">
      <w:pPr>
        <w:spacing w:line="280" w:lineRule="atLeast"/>
        <w:jc w:val="both"/>
        <w:rPr>
          <w:snapToGrid w:val="0"/>
          <w:color w:val="000000"/>
          <w:sz w:val="23"/>
          <w:szCs w:val="23"/>
        </w:rPr>
      </w:pPr>
    </w:p>
    <w:p w14:paraId="42526B43" w14:textId="17E588E0" w:rsidR="00A45552" w:rsidRPr="007B2C42" w:rsidRDefault="00B73D40" w:rsidP="00A45552">
      <w:pPr>
        <w:spacing w:line="280" w:lineRule="atLeast"/>
        <w:jc w:val="both"/>
        <w:rPr>
          <w:snapToGrid w:val="0"/>
          <w:color w:val="000000"/>
          <w:sz w:val="23"/>
          <w:szCs w:val="23"/>
        </w:rPr>
      </w:pPr>
      <w:r w:rsidRPr="007B2C42">
        <w:rPr>
          <w:snapToGrid w:val="0"/>
          <w:color w:val="000000"/>
          <w:sz w:val="23"/>
          <w:szCs w:val="23"/>
        </w:rPr>
        <w:t xml:space="preserve">In two companion papers, to be released in June, </w:t>
      </w:r>
      <w:r w:rsidR="00455B88">
        <w:rPr>
          <w:snapToGrid w:val="0"/>
          <w:color w:val="000000"/>
          <w:sz w:val="23"/>
          <w:szCs w:val="23"/>
        </w:rPr>
        <w:t xml:space="preserve">the </w:t>
      </w:r>
      <w:r w:rsidR="007C18BD" w:rsidRPr="007B2C42">
        <w:rPr>
          <w:snapToGrid w:val="0"/>
          <w:color w:val="000000"/>
          <w:sz w:val="23"/>
          <w:szCs w:val="23"/>
        </w:rPr>
        <w:t xml:space="preserve">same authors </w:t>
      </w:r>
      <w:r w:rsidRPr="007B2C42">
        <w:rPr>
          <w:snapToGrid w:val="0"/>
          <w:color w:val="000000"/>
          <w:sz w:val="23"/>
          <w:szCs w:val="23"/>
        </w:rPr>
        <w:t>will present a related analysis</w:t>
      </w:r>
      <w:r w:rsidR="007D68A9">
        <w:rPr>
          <w:snapToGrid w:val="0"/>
          <w:color w:val="000000"/>
          <w:sz w:val="23"/>
          <w:szCs w:val="23"/>
        </w:rPr>
        <w:t xml:space="preserve"> of </w:t>
      </w:r>
      <w:r w:rsidR="00A45552">
        <w:rPr>
          <w:snapToGrid w:val="0"/>
          <w:color w:val="000000"/>
          <w:sz w:val="23"/>
          <w:szCs w:val="23"/>
        </w:rPr>
        <w:t>the</w:t>
      </w:r>
      <w:r w:rsidRPr="007B2C42">
        <w:rPr>
          <w:snapToGrid w:val="0"/>
          <w:color w:val="000000"/>
          <w:sz w:val="23"/>
          <w:szCs w:val="23"/>
        </w:rPr>
        <w:t xml:space="preserve"> </w:t>
      </w:r>
      <w:r w:rsidR="00A45552">
        <w:rPr>
          <w:snapToGrid w:val="0"/>
          <w:color w:val="000000"/>
          <w:sz w:val="23"/>
          <w:szCs w:val="23"/>
        </w:rPr>
        <w:t xml:space="preserve">two most popular </w:t>
      </w:r>
      <w:r w:rsidR="00A45552" w:rsidRPr="00A45552">
        <w:rPr>
          <w:snapToGrid w:val="0"/>
          <w:color w:val="000000"/>
          <w:sz w:val="23"/>
          <w:szCs w:val="23"/>
        </w:rPr>
        <w:t>cross-sectional factors</w:t>
      </w:r>
      <w:r w:rsidR="00A45552">
        <w:rPr>
          <w:snapToGrid w:val="0"/>
          <w:color w:val="000000"/>
          <w:sz w:val="23"/>
          <w:szCs w:val="23"/>
        </w:rPr>
        <w:t>, namely</w:t>
      </w:r>
      <w:r w:rsidR="00A45552" w:rsidRPr="007B2C42">
        <w:rPr>
          <w:snapToGrid w:val="0"/>
          <w:color w:val="000000"/>
          <w:sz w:val="23"/>
          <w:szCs w:val="23"/>
        </w:rPr>
        <w:t xml:space="preserve"> </w:t>
      </w:r>
      <w:r w:rsidRPr="007B2C42">
        <w:rPr>
          <w:snapToGrid w:val="0"/>
          <w:color w:val="000000"/>
          <w:sz w:val="23"/>
          <w:szCs w:val="23"/>
        </w:rPr>
        <w:t xml:space="preserve">“value” </w:t>
      </w:r>
      <w:r w:rsidR="00E92E6B">
        <w:rPr>
          <w:snapToGrid w:val="0"/>
          <w:color w:val="000000"/>
          <w:sz w:val="23"/>
          <w:szCs w:val="23"/>
        </w:rPr>
        <w:t>and</w:t>
      </w:r>
      <w:r w:rsidR="00E92E6B" w:rsidRPr="007B2C42">
        <w:rPr>
          <w:snapToGrid w:val="0"/>
          <w:color w:val="000000"/>
          <w:sz w:val="23"/>
          <w:szCs w:val="23"/>
        </w:rPr>
        <w:t xml:space="preserve"> </w:t>
      </w:r>
      <w:r w:rsidRPr="007B2C42">
        <w:rPr>
          <w:snapToGrid w:val="0"/>
          <w:color w:val="000000"/>
          <w:sz w:val="23"/>
          <w:szCs w:val="23"/>
        </w:rPr>
        <w:t>“momentum”</w:t>
      </w:r>
      <w:r w:rsidR="00A45552">
        <w:rPr>
          <w:snapToGrid w:val="0"/>
          <w:color w:val="000000"/>
          <w:sz w:val="23"/>
          <w:szCs w:val="23"/>
        </w:rPr>
        <w:t xml:space="preserve">, </w:t>
      </w:r>
      <w:r w:rsidR="00A45552" w:rsidRPr="00A45552">
        <w:rPr>
          <w:snapToGrid w:val="0"/>
          <w:color w:val="000000"/>
          <w:sz w:val="23"/>
          <w:szCs w:val="23"/>
        </w:rPr>
        <w:t>using economically justified proxies for</w:t>
      </w:r>
      <w:r w:rsidR="00A45552">
        <w:rPr>
          <w:snapToGrid w:val="0"/>
          <w:color w:val="000000"/>
          <w:sz w:val="23"/>
          <w:szCs w:val="23"/>
        </w:rPr>
        <w:t xml:space="preserve"> </w:t>
      </w:r>
      <w:r w:rsidR="00A45552" w:rsidRPr="00A45552">
        <w:rPr>
          <w:snapToGrid w:val="0"/>
          <w:color w:val="000000"/>
          <w:sz w:val="23"/>
          <w:szCs w:val="23"/>
        </w:rPr>
        <w:t>these attributes.</w:t>
      </w:r>
    </w:p>
    <w:p w14:paraId="6EE9D310" w14:textId="77777777" w:rsidR="00B73D40" w:rsidRPr="007B2C42" w:rsidRDefault="00B73D40" w:rsidP="00B66FCF">
      <w:pPr>
        <w:spacing w:line="280" w:lineRule="atLeast"/>
        <w:jc w:val="both"/>
        <w:rPr>
          <w:snapToGrid w:val="0"/>
          <w:color w:val="000000"/>
          <w:sz w:val="23"/>
          <w:szCs w:val="23"/>
        </w:rPr>
      </w:pPr>
    </w:p>
    <w:p w14:paraId="36F31ED2" w14:textId="6FCDEE20" w:rsidR="004B0EBA" w:rsidRDefault="004B0EBA" w:rsidP="004B0EBA">
      <w:pPr>
        <w:jc w:val="both"/>
        <w:rPr>
          <w:snapToGrid w:val="0"/>
          <w:color w:val="000000"/>
        </w:rPr>
      </w:pPr>
      <w:r>
        <w:t>A copy</w:t>
      </w:r>
      <w:r>
        <w:rPr>
          <w:snapToGrid w:val="0"/>
          <w:color w:val="000000"/>
        </w:rPr>
        <w:t xml:space="preserve"> of “</w:t>
      </w:r>
      <w:r>
        <w:rPr>
          <w:i/>
        </w:rPr>
        <w:t>Factor Investing in Sovereign Bond Markets – A Time-Series Perspective</w:t>
      </w:r>
      <w:r>
        <w:rPr>
          <w:snapToGrid w:val="0"/>
          <w:color w:val="000000"/>
        </w:rPr>
        <w:t>” can be downloaded via the following link:</w:t>
      </w:r>
    </w:p>
    <w:p w14:paraId="27F222DA" w14:textId="77777777" w:rsidR="004B0EBA" w:rsidRDefault="004B0EBA" w:rsidP="004B0EBA">
      <w:pPr>
        <w:jc w:val="both"/>
        <w:rPr>
          <w:snapToGrid w:val="0"/>
          <w:color w:val="000000"/>
        </w:rPr>
      </w:pPr>
    </w:p>
    <w:p w14:paraId="0F2FC064" w14:textId="430CA2F3" w:rsidR="004B0EBA" w:rsidRDefault="00991059" w:rsidP="004B0EBA">
      <w:pPr>
        <w:jc w:val="both"/>
        <w:rPr>
          <w:snapToGrid w:val="0"/>
          <w:color w:val="000000"/>
        </w:rPr>
      </w:pPr>
      <w:hyperlink r:id="rId9" w:history="1">
        <w:r w:rsidR="004B0EBA">
          <w:rPr>
            <w:rStyle w:val="Lienhypertexte"/>
            <w:snapToGrid w:val="0"/>
          </w:rPr>
          <w:t>Factor Investing in Sovereign Bond Markets - A Time-Series Perspective</w:t>
        </w:r>
      </w:hyperlink>
      <w:bookmarkStart w:id="0" w:name="_GoBack"/>
      <w:bookmarkEnd w:id="0"/>
    </w:p>
    <w:p w14:paraId="78934738" w14:textId="77777777" w:rsidR="0059400D" w:rsidRPr="00367E63" w:rsidRDefault="0059400D" w:rsidP="0059400D">
      <w:pPr>
        <w:spacing w:line="280" w:lineRule="atLeast"/>
        <w:jc w:val="both"/>
        <w:rPr>
          <w:snapToGrid w:val="0"/>
          <w:color w:val="000000"/>
        </w:rPr>
      </w:pPr>
    </w:p>
    <w:p w14:paraId="7BD321F3" w14:textId="6BB559EA" w:rsidR="00B73D40" w:rsidRDefault="005C3F17" w:rsidP="00B73D40">
      <w:pPr>
        <w:jc w:val="both"/>
        <w:rPr>
          <w:rFonts w:cs="Arial"/>
        </w:rPr>
      </w:pPr>
      <w:r>
        <w:rPr>
          <w:rFonts w:cs="Arial"/>
        </w:rPr>
        <w:t>You can access the edito</w:t>
      </w:r>
      <w:r w:rsidR="00731C32">
        <w:rPr>
          <w:rFonts w:cs="Arial"/>
        </w:rPr>
        <w:t>rial –</w:t>
      </w:r>
      <w:r>
        <w:rPr>
          <w:rFonts w:cs="Arial"/>
        </w:rPr>
        <w:t xml:space="preserve"> </w:t>
      </w:r>
      <w:hyperlink r:id="rId10" w:history="1">
        <w:r w:rsidRPr="005C3F17">
          <w:rPr>
            <w:rStyle w:val="Lienhypertexte"/>
            <w:rFonts w:cs="Arial"/>
          </w:rPr>
          <w:t>EDHEC-Risk on Factor Investing in Sovereign Bond Universes</w:t>
        </w:r>
      </w:hyperlink>
      <w:r w:rsidR="00731C32">
        <w:rPr>
          <w:rFonts w:cs="Arial"/>
        </w:rPr>
        <w:t xml:space="preserve"> – </w:t>
      </w:r>
      <w:r>
        <w:rPr>
          <w:rFonts w:cs="Arial"/>
        </w:rPr>
        <w:t xml:space="preserve">published in </w:t>
      </w:r>
      <w:r w:rsidR="00731C32">
        <w:rPr>
          <w:rFonts w:cs="Arial"/>
        </w:rPr>
        <w:t xml:space="preserve">the </w:t>
      </w:r>
      <w:r>
        <w:rPr>
          <w:rFonts w:cs="Arial"/>
        </w:rPr>
        <w:t>April edition of EDHEC-Risk Institute quarterly newsletter</w:t>
      </w:r>
      <w:r w:rsidRPr="005C3F17">
        <w:rPr>
          <w:rFonts w:cs="Arial"/>
        </w:rPr>
        <w:t>.</w:t>
      </w:r>
    </w:p>
    <w:p w14:paraId="0387E6EB" w14:textId="0FB2843D" w:rsidR="00C93AE1" w:rsidRDefault="00C93AE1" w:rsidP="00B73D40">
      <w:pPr>
        <w:jc w:val="both"/>
        <w:rPr>
          <w:rFonts w:cs="Arial"/>
        </w:rPr>
      </w:pPr>
    </w:p>
    <w:p w14:paraId="4E87DAD9" w14:textId="77777777" w:rsidR="00C93AE1" w:rsidRDefault="00C93AE1" w:rsidP="00B73D40">
      <w:pPr>
        <w:jc w:val="both"/>
        <w:rPr>
          <w:sz w:val="23"/>
          <w:szCs w:val="23"/>
        </w:rPr>
      </w:pPr>
    </w:p>
    <w:p w14:paraId="6DCA6082" w14:textId="77777777" w:rsidR="00B73D40" w:rsidRPr="00F147F4" w:rsidRDefault="00B73D40" w:rsidP="00B73D40">
      <w:pPr>
        <w:autoSpaceDE w:val="0"/>
        <w:autoSpaceDN w:val="0"/>
        <w:adjustRightInd w:val="0"/>
        <w:jc w:val="both"/>
        <w:rPr>
          <w:snapToGrid w:val="0"/>
          <w:color w:val="000000"/>
          <w:sz w:val="22"/>
          <w:szCs w:val="22"/>
        </w:rPr>
      </w:pPr>
      <w:r>
        <w:rPr>
          <w:b/>
          <w:bCs/>
          <w:noProof/>
          <w:sz w:val="28"/>
          <w:szCs w:val="28"/>
          <w:lang w:val="fr-FR"/>
        </w:rPr>
        <mc:AlternateContent>
          <mc:Choice Requires="wpg">
            <w:drawing>
              <wp:anchor distT="0" distB="0" distL="114300" distR="114300" simplePos="0" relativeHeight="251658240" behindDoc="1" locked="0" layoutInCell="1" allowOverlap="1" wp14:anchorId="3B93191F" wp14:editId="15379D9F">
                <wp:simplePos x="0" y="0"/>
                <wp:positionH relativeFrom="column">
                  <wp:posOffset>-76200</wp:posOffset>
                </wp:positionH>
                <wp:positionV relativeFrom="paragraph">
                  <wp:posOffset>172720</wp:posOffset>
                </wp:positionV>
                <wp:extent cx="5829300" cy="952500"/>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8" name="Rectangle 31"/>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2" descr="edhec logo press releas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E8F6ED" id="Groupe 7" o:spid="_x0000_s1026" style="position:absolute;margin-left:-6pt;margin-top:13.6pt;width:459pt;height:75pt;z-index:-251658240"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">
                <v:rect id="Rectangle 31"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">
                  <v:imagedata r:id="rId13" o:title="edhec logo press release 3"/>
                </v:shape>
              </v:group>
            </w:pict>
          </mc:Fallback>
        </mc:AlternateContent>
      </w:r>
    </w:p>
    <w:p w14:paraId="07E55789" w14:textId="77777777" w:rsidR="00B73D40" w:rsidRPr="00F147F4" w:rsidRDefault="00B73D40" w:rsidP="00B73D40">
      <w:pPr>
        <w:tabs>
          <w:tab w:val="left" w:pos="3240"/>
        </w:tabs>
        <w:spacing w:line="280" w:lineRule="atLeast"/>
        <w:ind w:left="1622"/>
        <w:jc w:val="both"/>
        <w:rPr>
          <w:b/>
          <w:bCs/>
          <w:color w:val="800000"/>
          <w:sz w:val="22"/>
          <w:szCs w:val="22"/>
        </w:rPr>
      </w:pPr>
      <w:r w:rsidRPr="00F147F4">
        <w:rPr>
          <w:b/>
          <w:bCs/>
          <w:color w:val="800000"/>
          <w:sz w:val="22"/>
          <w:szCs w:val="22"/>
        </w:rPr>
        <w:t>Contact:</w:t>
      </w:r>
    </w:p>
    <w:p w14:paraId="045BE370" w14:textId="77777777" w:rsidR="00B73D40" w:rsidRPr="00F147F4" w:rsidRDefault="00B73D40" w:rsidP="00B73D40">
      <w:pPr>
        <w:tabs>
          <w:tab w:val="left" w:pos="3240"/>
        </w:tabs>
        <w:spacing w:line="280" w:lineRule="atLeast"/>
        <w:ind w:left="1620"/>
        <w:jc w:val="both"/>
        <w:rPr>
          <w:b/>
          <w:bCs/>
          <w:sz w:val="22"/>
          <w:szCs w:val="22"/>
        </w:rPr>
      </w:pPr>
      <w:r w:rsidRPr="00F147F4">
        <w:rPr>
          <w:sz w:val="22"/>
          <w:szCs w:val="22"/>
        </w:rPr>
        <w:t xml:space="preserve">For more information, please contact: </w:t>
      </w:r>
      <w:r w:rsidRPr="00F147F4">
        <w:rPr>
          <w:b/>
          <w:bCs/>
          <w:sz w:val="22"/>
          <w:szCs w:val="22"/>
        </w:rPr>
        <w:t>Maud Gauchon</w:t>
      </w:r>
    </w:p>
    <w:p w14:paraId="5430E9CC" w14:textId="77777777" w:rsidR="00B73D40" w:rsidRPr="009C3C80" w:rsidRDefault="00B73D40" w:rsidP="00B73D40">
      <w:pPr>
        <w:tabs>
          <w:tab w:val="left" w:pos="3240"/>
        </w:tabs>
        <w:spacing w:line="280" w:lineRule="atLeast"/>
        <w:ind w:left="1620"/>
        <w:jc w:val="both"/>
        <w:rPr>
          <w:sz w:val="22"/>
          <w:szCs w:val="22"/>
          <w:lang w:val="en-US"/>
        </w:rPr>
      </w:pPr>
      <w:r w:rsidRPr="009C3C80">
        <w:rPr>
          <w:sz w:val="22"/>
          <w:szCs w:val="22"/>
          <w:lang w:val="en-US"/>
        </w:rPr>
        <w:t xml:space="preserve">Tel.: </w:t>
      </w:r>
      <w:r w:rsidRPr="009C3C80">
        <w:rPr>
          <w:b/>
          <w:bCs/>
          <w:sz w:val="22"/>
          <w:szCs w:val="22"/>
          <w:lang w:val="en-US"/>
        </w:rPr>
        <w:t>+33 493 187 887</w:t>
      </w:r>
      <w:r w:rsidRPr="009C3C80">
        <w:rPr>
          <w:sz w:val="22"/>
          <w:szCs w:val="22"/>
          <w:lang w:val="en-US"/>
        </w:rPr>
        <w:t xml:space="preserve"> – E-mail: </w:t>
      </w:r>
      <w:hyperlink r:id="rId14" w:history="1">
        <w:r w:rsidRPr="009C3C80">
          <w:rPr>
            <w:rStyle w:val="Lienhypertexte"/>
            <w:rFonts w:eastAsia="SimSun"/>
            <w:sz w:val="22"/>
            <w:szCs w:val="22"/>
            <w:lang w:val="en-US"/>
          </w:rPr>
          <w:t>maud.gauchon@edhec-risk.com</w:t>
        </w:r>
      </w:hyperlink>
    </w:p>
    <w:p w14:paraId="73861418" w14:textId="77777777" w:rsidR="00B73D40" w:rsidRPr="00F147F4" w:rsidRDefault="00B73D40" w:rsidP="00B73D40">
      <w:pPr>
        <w:tabs>
          <w:tab w:val="left" w:pos="3240"/>
        </w:tabs>
        <w:spacing w:line="280" w:lineRule="atLeast"/>
        <w:ind w:left="1620"/>
      </w:pPr>
      <w:r w:rsidRPr="00F147F4">
        <w:rPr>
          <w:sz w:val="22"/>
          <w:szCs w:val="22"/>
        </w:rPr>
        <w:t xml:space="preserve">To visit our web site: </w:t>
      </w:r>
      <w:hyperlink r:id="rId15" w:history="1">
        <w:r w:rsidRPr="00F147F4">
          <w:rPr>
            <w:rStyle w:val="Lienhypertexte"/>
            <w:rFonts w:eastAsia="SimSun"/>
            <w:sz w:val="22"/>
            <w:szCs w:val="22"/>
          </w:rPr>
          <w:t>www.edhec-risk.com</w:t>
        </w:r>
      </w:hyperlink>
    </w:p>
    <w:p w14:paraId="79BDC684" w14:textId="77777777" w:rsidR="00B73D40" w:rsidRDefault="00B73D40" w:rsidP="00B73D40">
      <w:pPr>
        <w:spacing w:line="360" w:lineRule="auto"/>
        <w:jc w:val="both"/>
        <w:rPr>
          <w:b/>
          <w:bCs/>
          <w:sz w:val="28"/>
          <w:szCs w:val="28"/>
        </w:rPr>
      </w:pPr>
    </w:p>
    <w:p w14:paraId="0075A214" w14:textId="77777777" w:rsidR="00B73D40" w:rsidRDefault="00B73D40" w:rsidP="00B73D40">
      <w:pPr>
        <w:spacing w:line="360" w:lineRule="auto"/>
        <w:jc w:val="both"/>
        <w:rPr>
          <w:b/>
          <w:bCs/>
          <w:sz w:val="28"/>
          <w:szCs w:val="28"/>
        </w:rPr>
      </w:pPr>
    </w:p>
    <w:p w14:paraId="4F3DBEA9" w14:textId="77777777" w:rsidR="00C93AE1" w:rsidRDefault="00C93AE1" w:rsidP="00B73D40">
      <w:pPr>
        <w:spacing w:line="360" w:lineRule="auto"/>
        <w:jc w:val="both"/>
        <w:rPr>
          <w:b/>
          <w:bCs/>
          <w:sz w:val="28"/>
          <w:szCs w:val="28"/>
        </w:rPr>
      </w:pPr>
    </w:p>
    <w:p w14:paraId="4C238965" w14:textId="4CE383A2" w:rsidR="00B73D40" w:rsidRPr="00F147F4" w:rsidRDefault="00B73D40" w:rsidP="00B73D40">
      <w:pPr>
        <w:spacing w:line="360" w:lineRule="auto"/>
        <w:jc w:val="both"/>
        <w:rPr>
          <w:b/>
          <w:bCs/>
          <w:sz w:val="28"/>
          <w:szCs w:val="28"/>
        </w:rPr>
      </w:pPr>
      <w:r w:rsidRPr="00F147F4">
        <w:rPr>
          <w:b/>
          <w:bCs/>
          <w:sz w:val="28"/>
          <w:szCs w:val="28"/>
        </w:rPr>
        <w:t>About EDHEC-Risk Institute</w:t>
      </w:r>
    </w:p>
    <w:p w14:paraId="0A5AC2E2" w14:textId="77777777" w:rsidR="00B73D40" w:rsidRPr="00F147F4" w:rsidRDefault="00B73D40" w:rsidP="00B73D40">
      <w:pPr>
        <w:spacing w:line="360" w:lineRule="auto"/>
        <w:jc w:val="both"/>
        <w:rPr>
          <w:b/>
          <w:bCs/>
          <w:sz w:val="22"/>
          <w:szCs w:val="22"/>
        </w:rPr>
      </w:pPr>
      <w:r w:rsidRPr="00F147F4">
        <w:rPr>
          <w:b/>
          <w:bCs/>
          <w:sz w:val="22"/>
          <w:szCs w:val="22"/>
        </w:rPr>
        <w:t>Academic Roots &amp; Practitioner Reach</w:t>
      </w:r>
    </w:p>
    <w:p w14:paraId="56F30DC0" w14:textId="77777777" w:rsidR="00B73D40" w:rsidRPr="00F147F4" w:rsidRDefault="00B73D40" w:rsidP="00B73D40">
      <w:pPr>
        <w:spacing w:line="280" w:lineRule="atLeast"/>
        <w:jc w:val="both"/>
        <w:rPr>
          <w:rFonts w:cs="Arial"/>
          <w:sz w:val="22"/>
          <w:szCs w:val="22"/>
        </w:rPr>
      </w:pPr>
    </w:p>
    <w:p w14:paraId="45635AB0" w14:textId="77777777" w:rsidR="00B73D40" w:rsidRPr="00F147F4" w:rsidRDefault="00B73D40" w:rsidP="00B73D40">
      <w:pPr>
        <w:spacing w:line="280" w:lineRule="atLeast"/>
        <w:jc w:val="both"/>
        <w:rPr>
          <w:rFonts w:cs="Arial"/>
          <w:sz w:val="22"/>
          <w:szCs w:val="22"/>
        </w:rPr>
      </w:pPr>
      <w:r>
        <w:rPr>
          <w:rFonts w:cs="Arial"/>
          <w:sz w:val="22"/>
          <w:szCs w:val="22"/>
        </w:rPr>
        <w:t>For more than 15 years</w:t>
      </w:r>
      <w:r w:rsidRPr="00F147F4">
        <w:rPr>
          <w:rFonts w:cs="Arial"/>
          <w:sz w:val="22"/>
          <w:szCs w:val="22"/>
        </w:rPr>
        <w:t>, EDHEC Business School has been pursuing an ambitious policy in terms of practically relevant academic research. This policy, known as “Make an Impact”, aims to make EDHEC an academic institution of reference for the industry in a small number of areas in which the school has reached critical mass in terms of expertise and research results. Among these areas, investment management has occupied a privileged position, leading to the creation in 2001 of EDHEC-Risk Institute, which has developed an ambitious portfolio of research and educational initiatives in the domain of investment solutions for institutional and individual investors.</w:t>
      </w:r>
    </w:p>
    <w:p w14:paraId="0F9AE6E9" w14:textId="77777777" w:rsidR="00B73D40" w:rsidRPr="00F147F4" w:rsidRDefault="00B73D40" w:rsidP="00B73D40">
      <w:pPr>
        <w:spacing w:line="280" w:lineRule="atLeast"/>
        <w:jc w:val="both"/>
        <w:rPr>
          <w:rFonts w:cs="Arial"/>
          <w:sz w:val="22"/>
          <w:szCs w:val="22"/>
        </w:rPr>
      </w:pPr>
    </w:p>
    <w:p w14:paraId="44992B5F" w14:textId="77777777" w:rsidR="00B73D40" w:rsidRPr="00F147F4" w:rsidRDefault="00B73D40" w:rsidP="00B73D40">
      <w:pPr>
        <w:jc w:val="both"/>
        <w:rPr>
          <w:snapToGrid w:val="0"/>
          <w:sz w:val="22"/>
          <w:szCs w:val="22"/>
        </w:rPr>
      </w:pPr>
      <w:r w:rsidRPr="00F147F4">
        <w:rPr>
          <w:rFonts w:cs="Arial"/>
          <w:sz w:val="22"/>
          <w:szCs w:val="22"/>
        </w:rPr>
        <w:t xml:space="preserve">This Institute boasts a team of permanent professors, engineers and support staff, and counts a large number of affiliate professors and research associates from the financial industry among its ranks. EDHEC-Risk Institute is located at campuses </w:t>
      </w:r>
      <w:r w:rsidRPr="00F147F4">
        <w:rPr>
          <w:snapToGrid w:val="0"/>
          <w:sz w:val="22"/>
          <w:szCs w:val="22"/>
        </w:rPr>
        <w:t>in the City of London (United Kingdom) and Nice, (France)</w:t>
      </w:r>
      <w:r w:rsidRPr="00F147F4">
        <w:rPr>
          <w:rFonts w:cs="Arial"/>
          <w:sz w:val="22"/>
          <w:szCs w:val="22"/>
        </w:rPr>
        <w:t xml:space="preserve">. </w:t>
      </w:r>
      <w:r w:rsidRPr="00F147F4">
        <w:rPr>
          <w:snapToGrid w:val="0"/>
          <w:sz w:val="22"/>
          <w:szCs w:val="22"/>
        </w:rPr>
        <w:t xml:space="preserve">The philosophy of the Institute is to validate its work by publication in international academic </w:t>
      </w:r>
      <w:r w:rsidRPr="00F147F4">
        <w:rPr>
          <w:snapToGrid w:val="0"/>
          <w:sz w:val="22"/>
          <w:szCs w:val="22"/>
        </w:rPr>
        <w:lastRenderedPageBreak/>
        <w:t>journals, as well as to make it available to the sector through its position papers, published studies and global conferences.</w:t>
      </w:r>
    </w:p>
    <w:p w14:paraId="4321B43A" w14:textId="77777777" w:rsidR="00B73D40" w:rsidRPr="00F147F4" w:rsidRDefault="00B73D40" w:rsidP="00B73D40">
      <w:pPr>
        <w:spacing w:line="280" w:lineRule="atLeast"/>
        <w:jc w:val="both"/>
        <w:rPr>
          <w:rFonts w:cs="Arial"/>
          <w:sz w:val="22"/>
          <w:szCs w:val="22"/>
        </w:rPr>
      </w:pPr>
    </w:p>
    <w:p w14:paraId="7F0BF14E" w14:textId="77777777" w:rsidR="00B73D40" w:rsidRPr="00F147F4" w:rsidRDefault="00B73D40" w:rsidP="00B73D40">
      <w:pPr>
        <w:spacing w:line="280" w:lineRule="atLeast"/>
        <w:jc w:val="both"/>
        <w:rPr>
          <w:rFonts w:cs="Arial"/>
          <w:sz w:val="22"/>
          <w:szCs w:val="22"/>
        </w:rPr>
      </w:pPr>
      <w:r w:rsidRPr="00F147F4">
        <w:rPr>
          <w:rFonts w:cs="Arial"/>
          <w:sz w:val="22"/>
          <w:szCs w:val="22"/>
        </w:rPr>
        <w:t xml:space="preserve">To ensure the distribution of its research to the industry, EDHEC-Risk also provides professionals with access to its website, </w:t>
      </w:r>
      <w:hyperlink r:id="rId16" w:history="1">
        <w:r w:rsidRPr="00F147F4">
          <w:rPr>
            <w:rStyle w:val="Lienhypertexte"/>
            <w:sz w:val="22"/>
            <w:szCs w:val="22"/>
          </w:rPr>
          <w:t>https://risk.edhec.edu</w:t>
        </w:r>
      </w:hyperlink>
      <w:r w:rsidRPr="00F147F4">
        <w:rPr>
          <w:rFonts w:cs="Arial"/>
          <w:sz w:val="22"/>
          <w:szCs w:val="22"/>
        </w:rPr>
        <w:t>, devoted to asset and risk management research for the industry, with a focus on investment solutions. Additionally, its quarterly newsletter is distributed to over 150,000 readers.</w:t>
      </w:r>
    </w:p>
    <w:p w14:paraId="08352E2F" w14:textId="77777777" w:rsidR="00B73D40" w:rsidRPr="00F147F4" w:rsidRDefault="00B73D40" w:rsidP="00B73D40">
      <w:pPr>
        <w:spacing w:line="280" w:lineRule="atLeast"/>
        <w:jc w:val="both"/>
        <w:rPr>
          <w:rFonts w:cs="Arial"/>
          <w:sz w:val="22"/>
          <w:szCs w:val="22"/>
        </w:rPr>
      </w:pPr>
    </w:p>
    <w:p w14:paraId="7B396377" w14:textId="77777777" w:rsidR="00B73D40" w:rsidRPr="00F147F4" w:rsidRDefault="00B73D40" w:rsidP="00B73D40">
      <w:pPr>
        <w:autoSpaceDE w:val="0"/>
        <w:autoSpaceDN w:val="0"/>
        <w:jc w:val="both"/>
        <w:rPr>
          <w:snapToGrid w:val="0"/>
          <w:sz w:val="22"/>
          <w:szCs w:val="22"/>
        </w:rPr>
      </w:pPr>
      <w:r w:rsidRPr="00F147F4">
        <w:rPr>
          <w:snapToGrid w:val="0"/>
          <w:sz w:val="22"/>
          <w:szCs w:val="22"/>
        </w:rPr>
        <w:t>In addition to the EDHEC Alternative Indexes, which are used as performance benchmarks for risk analysis by investors in hedge funds, and the EDHEC-IEIF Monthly Commercial Property index, which tracks the performance of the French commercial property market through SCPIs, EDHEC-Risk has recently launched a series of new initiatives.</w:t>
      </w:r>
    </w:p>
    <w:p w14:paraId="63A9B461" w14:textId="77777777" w:rsidR="00B73D40" w:rsidRPr="007E16E1" w:rsidRDefault="00B73D40" w:rsidP="00B73D40">
      <w:pPr>
        <w:pStyle w:val="Paragraphedeliste"/>
        <w:numPr>
          <w:ilvl w:val="0"/>
          <w:numId w:val="18"/>
        </w:numPr>
        <w:tabs>
          <w:tab w:val="clear" w:pos="709"/>
        </w:tabs>
        <w:autoSpaceDE w:val="0"/>
        <w:autoSpaceDN w:val="0"/>
        <w:spacing w:after="0" w:line="240" w:lineRule="auto"/>
        <w:contextualSpacing w:val="0"/>
        <w:rPr>
          <w:rFonts w:ascii="Times New Roman" w:hAnsi="Times New Roman" w:cs="Times New Roman"/>
          <w:snapToGrid w:val="0"/>
        </w:rPr>
      </w:pPr>
      <w:r w:rsidRPr="007E16E1">
        <w:rPr>
          <w:rFonts w:ascii="Times New Roman" w:hAnsi="Times New Roman" w:cs="Times New Roman"/>
          <w:snapToGrid w:val="0"/>
        </w:rPr>
        <w:t xml:space="preserve">The </w:t>
      </w:r>
      <w:hyperlink r:id="rId17" w:anchor="tab_372" w:history="1">
        <w:r w:rsidRPr="007E16E1">
          <w:rPr>
            <w:rStyle w:val="Lienhypertexte"/>
            <w:rFonts w:ascii="Times New Roman" w:hAnsi="Times New Roman" w:cs="Times New Roman"/>
            <w:snapToGrid w:val="0"/>
          </w:rPr>
          <w:t>EDHEC-Princeton Retirement Goal-Based Investing Index Series</w:t>
        </w:r>
      </w:hyperlink>
      <w:r w:rsidRPr="007E16E1">
        <w:rPr>
          <w:rFonts w:ascii="Times New Roman" w:hAnsi="Times New Roman" w:cs="Times New Roman"/>
          <w:snapToGrid w:val="0"/>
        </w:rPr>
        <w:t xml:space="preserve">, launched in May 2018, which represent asset allocation benchmarks for innovative mass-customised target date solutions for individuals preparing for retirement; </w:t>
      </w:r>
    </w:p>
    <w:p w14:paraId="0079D9AA" w14:textId="77777777" w:rsidR="00B73D40" w:rsidRPr="007E16E1" w:rsidRDefault="00B73D40" w:rsidP="00B73D40">
      <w:pPr>
        <w:pStyle w:val="Paragraphedeliste"/>
        <w:numPr>
          <w:ilvl w:val="0"/>
          <w:numId w:val="18"/>
        </w:numPr>
        <w:tabs>
          <w:tab w:val="clear" w:pos="709"/>
        </w:tabs>
        <w:autoSpaceDE w:val="0"/>
        <w:autoSpaceDN w:val="0"/>
        <w:spacing w:after="0" w:line="240" w:lineRule="auto"/>
        <w:contextualSpacing w:val="0"/>
        <w:rPr>
          <w:rFonts w:ascii="Times New Roman" w:hAnsi="Times New Roman" w:cs="Times New Roman"/>
          <w:snapToGrid w:val="0"/>
        </w:rPr>
      </w:pPr>
      <w:r w:rsidRPr="007E16E1">
        <w:rPr>
          <w:rFonts w:ascii="Times New Roman" w:hAnsi="Times New Roman" w:cs="Times New Roman"/>
          <w:snapToGrid w:val="0"/>
        </w:rPr>
        <w:t xml:space="preserve">The </w:t>
      </w:r>
      <w:hyperlink r:id="rId18" w:history="1">
        <w:r w:rsidRPr="007E16E1">
          <w:rPr>
            <w:rStyle w:val="Lienhypertexte"/>
            <w:rFonts w:ascii="Times New Roman" w:hAnsi="Times New Roman" w:cs="Times New Roman"/>
            <w:snapToGrid w:val="0"/>
          </w:rPr>
          <w:t>EDHEC Bond Risk Premium Monitor</w:t>
        </w:r>
      </w:hyperlink>
      <w:r w:rsidRPr="007E16E1">
        <w:rPr>
          <w:rFonts w:ascii="Times New Roman" w:hAnsi="Times New Roman" w:cs="Times New Roman"/>
          <w:snapToGrid w:val="0"/>
        </w:rPr>
        <w:t>, the purpose of which is to offer to investment and academic communities a tool to quantify and analyse the risk premium associated with Government bonds;</w:t>
      </w:r>
    </w:p>
    <w:p w14:paraId="5D9FFBDD" w14:textId="77777777" w:rsidR="00B73D40" w:rsidRPr="007E16E1" w:rsidRDefault="00B73D40" w:rsidP="00B73D40">
      <w:pPr>
        <w:pStyle w:val="Paragraphedeliste"/>
        <w:numPr>
          <w:ilvl w:val="0"/>
          <w:numId w:val="18"/>
        </w:numPr>
        <w:tabs>
          <w:tab w:val="clear" w:pos="709"/>
        </w:tabs>
        <w:autoSpaceDE w:val="0"/>
        <w:autoSpaceDN w:val="0"/>
        <w:spacing w:after="0" w:line="240" w:lineRule="auto"/>
        <w:contextualSpacing w:val="0"/>
        <w:rPr>
          <w:rFonts w:ascii="Times New Roman" w:hAnsi="Times New Roman" w:cs="Times New Roman"/>
          <w:snapToGrid w:val="0"/>
        </w:rPr>
      </w:pPr>
      <w:r w:rsidRPr="007E16E1">
        <w:rPr>
          <w:rFonts w:ascii="Times New Roman" w:hAnsi="Times New Roman" w:cs="Times New Roman"/>
          <w:snapToGrid w:val="0"/>
        </w:rPr>
        <w:t xml:space="preserve">The </w:t>
      </w:r>
      <w:hyperlink r:id="rId19" w:history="1">
        <w:r w:rsidRPr="007E16E1">
          <w:rPr>
            <w:rStyle w:val="Lienhypertexte"/>
            <w:rFonts w:ascii="Times New Roman" w:hAnsi="Times New Roman" w:cs="Times New Roman"/>
            <w:snapToGrid w:val="0"/>
          </w:rPr>
          <w:t>EDHEC-Risk Investment Solutions (Serious) Game</w:t>
        </w:r>
      </w:hyperlink>
      <w:r w:rsidRPr="007E16E1">
        <w:rPr>
          <w:rFonts w:ascii="Times New Roman" w:hAnsi="Times New Roman" w:cs="Times New Roman"/>
          <w:snapToGrid w:val="0"/>
        </w:rPr>
        <w:t>, which is meant to facilitate engagement with graduate students or investment professionals enrolled on one of EDHEC-Risk’s various campus-based, blended or fully-digital educational programmes.</w:t>
      </w:r>
    </w:p>
    <w:p w14:paraId="5D8E3476" w14:textId="77777777" w:rsidR="00B73D40" w:rsidRPr="007E16E1" w:rsidRDefault="00B73D40" w:rsidP="00B73D40">
      <w:pPr>
        <w:spacing w:line="280" w:lineRule="atLeast"/>
        <w:jc w:val="both"/>
        <w:rPr>
          <w:sz w:val="22"/>
          <w:szCs w:val="22"/>
        </w:rPr>
      </w:pPr>
    </w:p>
    <w:p w14:paraId="337F7CBE" w14:textId="77777777" w:rsidR="00B73D40" w:rsidRPr="00F147F4" w:rsidRDefault="00B73D40" w:rsidP="00B73D40">
      <w:pPr>
        <w:spacing w:line="280" w:lineRule="atLeast"/>
        <w:jc w:val="both"/>
        <w:rPr>
          <w:rFonts w:cs="Arial"/>
          <w:sz w:val="22"/>
          <w:szCs w:val="22"/>
        </w:rPr>
      </w:pPr>
      <w:r w:rsidRPr="007E16E1">
        <w:rPr>
          <w:sz w:val="22"/>
          <w:szCs w:val="22"/>
        </w:rPr>
        <w:t>EDHEC-Risk Institute also has highly significant executive education activities for professionals, in</w:t>
      </w:r>
      <w:r w:rsidRPr="00F147F4">
        <w:rPr>
          <w:rFonts w:cs="Arial"/>
          <w:sz w:val="22"/>
          <w:szCs w:val="22"/>
        </w:rPr>
        <w:t xml:space="preserve"> partnership with prestigious academic partners.</w:t>
      </w:r>
    </w:p>
    <w:p w14:paraId="3CE151C0" w14:textId="77777777" w:rsidR="00B73D40" w:rsidRPr="00F147F4" w:rsidRDefault="00B73D40" w:rsidP="00B73D40">
      <w:pPr>
        <w:spacing w:line="280" w:lineRule="atLeast"/>
        <w:jc w:val="both"/>
        <w:rPr>
          <w:rFonts w:cs="Arial"/>
          <w:sz w:val="22"/>
          <w:szCs w:val="22"/>
        </w:rPr>
      </w:pPr>
    </w:p>
    <w:p w14:paraId="2B0A0C97" w14:textId="77777777" w:rsidR="00B73D40" w:rsidRPr="00F147F4" w:rsidRDefault="00B73D40" w:rsidP="00B73D40">
      <w:pPr>
        <w:jc w:val="both"/>
        <w:rPr>
          <w:sz w:val="22"/>
          <w:szCs w:val="22"/>
        </w:rPr>
      </w:pPr>
      <w:r w:rsidRPr="00F147F4">
        <w:rPr>
          <w:sz w:val="22"/>
          <w:szCs w:val="22"/>
        </w:rPr>
        <w:t xml:space="preserve">In 2012, EDHEC-Risk Institute signed two strategic partnership agreements. The first was with the Operations Research and Financial Engineering department of Princeton University to set up a joint research programme in the area of investment solutions for institutions and individuals. The second was with Yale School of Management to set up joint certified executive training courses in North America and Europe in the area of risk and investment management. </w:t>
      </w:r>
    </w:p>
    <w:p w14:paraId="3B91CE87" w14:textId="77777777" w:rsidR="00B73D40" w:rsidRPr="00F147F4" w:rsidRDefault="00B73D40" w:rsidP="00B73D40">
      <w:pPr>
        <w:jc w:val="both"/>
        <w:rPr>
          <w:sz w:val="22"/>
          <w:szCs w:val="22"/>
        </w:rPr>
      </w:pPr>
    </w:p>
    <w:p w14:paraId="63ACEA6E" w14:textId="77777777" w:rsidR="00B73D40" w:rsidRPr="00F147F4" w:rsidRDefault="00B73D40" w:rsidP="00B73D40">
      <w:pPr>
        <w:jc w:val="both"/>
        <w:rPr>
          <w:sz w:val="22"/>
          <w:szCs w:val="22"/>
        </w:rPr>
      </w:pPr>
      <w:r w:rsidRPr="00F147F4">
        <w:rPr>
          <w:sz w:val="22"/>
          <w:szCs w:val="22"/>
        </w:rPr>
        <w:t xml:space="preserve">As part of its policy of transferring know-how to the industry, in 2013 EDHEC-Risk Institute also set up ERI Scientific Beta, which is an original initiative that aims to favour the adoption of the latest advances in smart beta design and implementation by the whole investment industry. Its academic origin provides the foundation for its strategy: offer, in the best economic conditions possible, the smart beta solutions that are most proven scientifically with full transparency in both the methods and the associated risks. </w:t>
      </w:r>
    </w:p>
    <w:p w14:paraId="7BAA728C" w14:textId="77777777" w:rsidR="00B73D40" w:rsidRPr="00F147F4" w:rsidRDefault="00B73D40" w:rsidP="00B73D40">
      <w:pPr>
        <w:jc w:val="both"/>
        <w:rPr>
          <w:sz w:val="22"/>
          <w:szCs w:val="22"/>
        </w:rPr>
      </w:pPr>
    </w:p>
    <w:p w14:paraId="54F956F9" w14:textId="77777777" w:rsidR="00B73D40" w:rsidRPr="00F147F4" w:rsidRDefault="00B73D40" w:rsidP="00B73D40">
      <w:pPr>
        <w:jc w:val="both"/>
        <w:rPr>
          <w:sz w:val="22"/>
          <w:szCs w:val="22"/>
        </w:rPr>
      </w:pPr>
      <w:r w:rsidRPr="00F147F4">
        <w:rPr>
          <w:sz w:val="22"/>
          <w:szCs w:val="22"/>
        </w:rPr>
        <w:t>EDHEC-Risk Institute also contributed to the 2016 launch of EDHEC Infrastructure Institute (EDHEC</w:t>
      </w:r>
      <w:r w:rsidRPr="00F147F4">
        <w:rPr>
          <w:i/>
          <w:sz w:val="22"/>
          <w:szCs w:val="22"/>
        </w:rPr>
        <w:t>infra</w:t>
      </w:r>
      <w:r w:rsidRPr="00F147F4">
        <w:rPr>
          <w:sz w:val="22"/>
          <w:szCs w:val="22"/>
        </w:rPr>
        <w:t>), a spin-off dedicated to benchmarking private infrastructure investments. EDHEC</w:t>
      </w:r>
      <w:r w:rsidRPr="00F147F4">
        <w:rPr>
          <w:i/>
          <w:sz w:val="22"/>
          <w:szCs w:val="22"/>
        </w:rPr>
        <w:t>infra</w:t>
      </w:r>
      <w:r w:rsidRPr="00F147F4">
        <w:rPr>
          <w:sz w:val="22"/>
          <w:szCs w:val="22"/>
        </w:rPr>
        <w:t xml:space="preserve"> was created to address the profound knowledge gap faced by infrastructure investors by collecting and standardising private investment and cash flow data and running state-of-the-art asset pricing and risk models to create the performance benchmarks that are needed for asset allocation, prudential regulation and the design of infrastructure investment solutions.</w:t>
      </w:r>
    </w:p>
    <w:p w14:paraId="7C8A80DF" w14:textId="77777777" w:rsidR="00B73D40" w:rsidRPr="00F147F4" w:rsidRDefault="00B73D40" w:rsidP="00B73D40">
      <w:pPr>
        <w:spacing w:line="280" w:lineRule="atLeast"/>
        <w:jc w:val="both"/>
        <w:rPr>
          <w:rFonts w:cs="Arial"/>
          <w:sz w:val="22"/>
          <w:szCs w:val="22"/>
        </w:rPr>
      </w:pPr>
    </w:p>
    <w:p w14:paraId="687ED2DC" w14:textId="77777777" w:rsidR="00B73D40" w:rsidRPr="00F147F4" w:rsidRDefault="00B73D40" w:rsidP="00B73D40">
      <w:pPr>
        <w:jc w:val="both"/>
        <w:rPr>
          <w:color w:val="000000" w:themeColor="text1"/>
          <w:sz w:val="22"/>
          <w:szCs w:val="22"/>
        </w:rPr>
      </w:pPr>
    </w:p>
    <w:p w14:paraId="646C38D5" w14:textId="77777777" w:rsidR="00B73D40" w:rsidRPr="00F147F4" w:rsidRDefault="00B73D40" w:rsidP="00B73D40">
      <w:pPr>
        <w:autoSpaceDE w:val="0"/>
        <w:autoSpaceDN w:val="0"/>
        <w:adjustRightInd w:val="0"/>
        <w:rPr>
          <w:b/>
          <w:bCs/>
          <w:sz w:val="16"/>
          <w:szCs w:val="16"/>
          <w:lang w:eastAsia="zh-CN"/>
        </w:rPr>
      </w:pPr>
      <w:r w:rsidRPr="00F147F4">
        <w:rPr>
          <w:b/>
          <w:bCs/>
          <w:sz w:val="16"/>
          <w:szCs w:val="16"/>
          <w:lang w:eastAsia="zh-CN"/>
        </w:rPr>
        <w:t xml:space="preserve">                     </w:t>
      </w:r>
      <w:r w:rsidRPr="00F147F4">
        <w:rPr>
          <w:b/>
          <w:bCs/>
          <w:sz w:val="16"/>
          <w:szCs w:val="16"/>
          <w:lang w:eastAsia="zh-CN"/>
        </w:rPr>
        <w:tab/>
        <w:t>EDHEC-Risk Institute</w:t>
      </w:r>
      <w:r w:rsidRPr="00F147F4">
        <w:rPr>
          <w:b/>
          <w:bCs/>
          <w:sz w:val="16"/>
          <w:szCs w:val="16"/>
          <w:lang w:eastAsia="zh-CN"/>
        </w:rPr>
        <w:tab/>
      </w:r>
      <w:r w:rsidRPr="00F147F4">
        <w:rPr>
          <w:b/>
          <w:bCs/>
          <w:sz w:val="16"/>
          <w:szCs w:val="16"/>
          <w:lang w:eastAsia="zh-CN"/>
        </w:rPr>
        <w:tab/>
      </w:r>
      <w:r w:rsidRPr="00F147F4">
        <w:rPr>
          <w:b/>
          <w:bCs/>
          <w:sz w:val="16"/>
          <w:szCs w:val="16"/>
          <w:lang w:eastAsia="zh-CN"/>
        </w:rPr>
        <w:tab/>
      </w:r>
      <w:r w:rsidRPr="00F147F4">
        <w:rPr>
          <w:b/>
          <w:bCs/>
          <w:sz w:val="16"/>
          <w:szCs w:val="16"/>
          <w:lang w:eastAsia="zh-CN"/>
        </w:rPr>
        <w:tab/>
      </w:r>
      <w:r w:rsidRPr="00F147F4">
        <w:rPr>
          <w:b/>
          <w:bCs/>
          <w:sz w:val="16"/>
          <w:szCs w:val="16"/>
          <w:lang w:eastAsia="zh-CN"/>
        </w:rPr>
        <w:tab/>
        <w:t>EDHEC Risk Institute—Europe</w:t>
      </w:r>
    </w:p>
    <w:p w14:paraId="26CD2756" w14:textId="77777777" w:rsidR="00B73D40" w:rsidRPr="00B32671" w:rsidRDefault="00B73D40" w:rsidP="00B73D40">
      <w:pPr>
        <w:autoSpaceDE w:val="0"/>
        <w:autoSpaceDN w:val="0"/>
        <w:adjustRightInd w:val="0"/>
        <w:ind w:left="708" w:firstLine="708"/>
        <w:rPr>
          <w:sz w:val="16"/>
          <w:szCs w:val="16"/>
          <w:lang w:val="fr-FR" w:eastAsia="zh-CN"/>
        </w:rPr>
      </w:pPr>
      <w:r w:rsidRPr="00B32671">
        <w:rPr>
          <w:sz w:val="16"/>
          <w:szCs w:val="16"/>
          <w:lang w:val="fr-FR" w:eastAsia="zh-CN"/>
        </w:rPr>
        <w:t>393 promenade des Anglais</w:t>
      </w:r>
      <w:r w:rsidRPr="00B32671">
        <w:rPr>
          <w:sz w:val="16"/>
          <w:szCs w:val="16"/>
          <w:lang w:val="fr-FR" w:eastAsia="zh-CN"/>
        </w:rPr>
        <w:tab/>
      </w:r>
      <w:r w:rsidRPr="00B32671">
        <w:rPr>
          <w:sz w:val="16"/>
          <w:szCs w:val="16"/>
          <w:lang w:val="fr-FR" w:eastAsia="zh-CN"/>
        </w:rPr>
        <w:tab/>
      </w:r>
      <w:r w:rsidRPr="00B32671">
        <w:rPr>
          <w:sz w:val="16"/>
          <w:szCs w:val="16"/>
          <w:lang w:val="fr-FR" w:eastAsia="zh-CN"/>
        </w:rPr>
        <w:tab/>
      </w:r>
      <w:r w:rsidRPr="00B32671">
        <w:rPr>
          <w:sz w:val="16"/>
          <w:szCs w:val="16"/>
          <w:lang w:val="fr-FR" w:eastAsia="zh-CN"/>
        </w:rPr>
        <w:tab/>
      </w:r>
      <w:r w:rsidRPr="00B32671">
        <w:rPr>
          <w:sz w:val="16"/>
          <w:szCs w:val="16"/>
          <w:lang w:val="fr-FR" w:eastAsia="zh-CN"/>
        </w:rPr>
        <w:tab/>
        <w:t>10 Fleet Place, Ludgate</w:t>
      </w:r>
    </w:p>
    <w:p w14:paraId="276ACD8F" w14:textId="77777777" w:rsidR="00B73D40" w:rsidRPr="00F147F4" w:rsidRDefault="00B73D40" w:rsidP="00B73D40">
      <w:pPr>
        <w:autoSpaceDE w:val="0"/>
        <w:autoSpaceDN w:val="0"/>
        <w:adjustRightInd w:val="0"/>
        <w:ind w:left="708" w:firstLine="708"/>
        <w:rPr>
          <w:sz w:val="16"/>
          <w:szCs w:val="16"/>
          <w:lang w:eastAsia="zh-CN"/>
        </w:rPr>
      </w:pPr>
      <w:r w:rsidRPr="00F147F4">
        <w:rPr>
          <w:sz w:val="16"/>
          <w:szCs w:val="16"/>
          <w:lang w:eastAsia="zh-CN"/>
        </w:rPr>
        <w:t>BP 3116 - 06202 Nice Cedex 3</w:t>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t>London EC4M 7RB</w:t>
      </w:r>
      <w:r w:rsidRPr="00F147F4">
        <w:rPr>
          <w:sz w:val="16"/>
          <w:szCs w:val="16"/>
          <w:lang w:eastAsia="zh-CN"/>
        </w:rPr>
        <w:tab/>
      </w:r>
      <w:r w:rsidRPr="00F147F4">
        <w:rPr>
          <w:sz w:val="16"/>
          <w:szCs w:val="16"/>
          <w:lang w:eastAsia="zh-CN"/>
        </w:rPr>
        <w:tab/>
      </w:r>
    </w:p>
    <w:p w14:paraId="475CAD15" w14:textId="77777777" w:rsidR="00B73D40" w:rsidRPr="00F147F4" w:rsidRDefault="00B73D40" w:rsidP="00B73D40">
      <w:pPr>
        <w:autoSpaceDE w:val="0"/>
        <w:autoSpaceDN w:val="0"/>
        <w:adjustRightInd w:val="0"/>
        <w:ind w:left="708" w:firstLine="708"/>
        <w:rPr>
          <w:sz w:val="16"/>
          <w:szCs w:val="16"/>
          <w:lang w:eastAsia="zh-CN"/>
        </w:rPr>
      </w:pPr>
      <w:r w:rsidRPr="00F147F4">
        <w:rPr>
          <w:sz w:val="16"/>
          <w:szCs w:val="16"/>
          <w:lang w:eastAsia="zh-CN"/>
        </w:rPr>
        <w:t>France</w:t>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t>United Kingdom</w:t>
      </w:r>
      <w:r w:rsidRPr="00F147F4">
        <w:rPr>
          <w:sz w:val="16"/>
          <w:szCs w:val="16"/>
          <w:lang w:eastAsia="zh-CN"/>
        </w:rPr>
        <w:tab/>
      </w:r>
      <w:r w:rsidRPr="00F147F4">
        <w:rPr>
          <w:sz w:val="16"/>
          <w:szCs w:val="16"/>
          <w:lang w:eastAsia="zh-CN"/>
        </w:rPr>
        <w:tab/>
      </w:r>
    </w:p>
    <w:p w14:paraId="4968D911" w14:textId="77777777" w:rsidR="00B73D40" w:rsidRPr="00F147F4" w:rsidRDefault="00B73D40" w:rsidP="00B73D40">
      <w:pPr>
        <w:autoSpaceDE w:val="0"/>
        <w:autoSpaceDN w:val="0"/>
        <w:adjustRightInd w:val="0"/>
        <w:ind w:left="708" w:firstLine="708"/>
        <w:rPr>
          <w:sz w:val="16"/>
          <w:szCs w:val="16"/>
          <w:lang w:eastAsia="zh-CN"/>
        </w:rPr>
      </w:pPr>
      <w:r w:rsidRPr="00F147F4">
        <w:rPr>
          <w:sz w:val="16"/>
          <w:szCs w:val="16"/>
          <w:lang w:eastAsia="zh-CN"/>
        </w:rPr>
        <w:t>Tel: +33 493 187 887</w:t>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t>Tel: + 44 207 332 5600</w:t>
      </w:r>
      <w:r w:rsidRPr="00F147F4">
        <w:rPr>
          <w:sz w:val="16"/>
          <w:szCs w:val="16"/>
          <w:lang w:eastAsia="zh-CN"/>
        </w:rPr>
        <w:tab/>
      </w:r>
    </w:p>
    <w:p w14:paraId="565C443B" w14:textId="77777777" w:rsidR="00B73D40" w:rsidRPr="00F147F4" w:rsidRDefault="00B73D40" w:rsidP="00B73D40">
      <w:pPr>
        <w:autoSpaceDE w:val="0"/>
        <w:autoSpaceDN w:val="0"/>
        <w:adjustRightInd w:val="0"/>
        <w:ind w:left="708" w:firstLine="708"/>
        <w:rPr>
          <w:sz w:val="16"/>
          <w:szCs w:val="16"/>
          <w:lang w:eastAsia="zh-CN"/>
        </w:rPr>
      </w:pPr>
      <w:r w:rsidRPr="00F147F4">
        <w:rPr>
          <w:sz w:val="16"/>
          <w:szCs w:val="16"/>
          <w:lang w:eastAsia="zh-CN"/>
        </w:rPr>
        <w:tab/>
      </w:r>
    </w:p>
    <w:p w14:paraId="75ADBA84" w14:textId="77777777" w:rsidR="00C93AE1" w:rsidRDefault="00C93AE1" w:rsidP="004A4B81">
      <w:pPr>
        <w:autoSpaceDE w:val="0"/>
        <w:autoSpaceDN w:val="0"/>
        <w:adjustRightInd w:val="0"/>
        <w:ind w:firstLine="708"/>
        <w:jc w:val="center"/>
        <w:rPr>
          <w:rStyle w:val="Lienhypertexte"/>
        </w:rPr>
      </w:pPr>
    </w:p>
    <w:p w14:paraId="69B9F957" w14:textId="77777777" w:rsidR="0004070F" w:rsidRDefault="0004070F" w:rsidP="00213930">
      <w:pPr>
        <w:rPr>
          <w:b/>
          <w:bCs/>
          <w:sz w:val="28"/>
          <w:szCs w:val="28"/>
        </w:rPr>
      </w:pPr>
    </w:p>
    <w:p w14:paraId="2F26935A" w14:textId="5CC0C106" w:rsidR="00213930" w:rsidRPr="00367E63" w:rsidRDefault="00C93AE1" w:rsidP="00213930">
      <w:pPr>
        <w:rPr>
          <w:color w:val="000000"/>
          <w:sz w:val="27"/>
          <w:szCs w:val="27"/>
          <w:lang w:eastAsia="en-GB"/>
        </w:rPr>
      </w:pPr>
      <w:r>
        <w:rPr>
          <w:b/>
          <w:bCs/>
          <w:sz w:val="28"/>
          <w:szCs w:val="28"/>
        </w:rPr>
        <w:t>A</w:t>
      </w:r>
      <w:r w:rsidR="00213930" w:rsidRPr="00367E63">
        <w:rPr>
          <w:b/>
          <w:bCs/>
          <w:sz w:val="28"/>
          <w:szCs w:val="28"/>
        </w:rPr>
        <w:t>bout Amundi ETF, Indexing and Smart Beta</w:t>
      </w:r>
    </w:p>
    <w:p w14:paraId="75EFAD59" w14:textId="77777777" w:rsidR="00213930" w:rsidRPr="00367E63" w:rsidRDefault="00213930" w:rsidP="00213930">
      <w:pPr>
        <w:rPr>
          <w:color w:val="000000"/>
          <w:sz w:val="27"/>
          <w:szCs w:val="27"/>
          <w:lang w:eastAsia="en-GB"/>
        </w:rPr>
      </w:pPr>
      <w:r w:rsidRPr="00367E63">
        <w:rPr>
          <w:rFonts w:ascii="Arial" w:hAnsi="Arial" w:cs="Arial"/>
          <w:color w:val="000000"/>
          <w:sz w:val="27"/>
          <w:szCs w:val="27"/>
          <w:lang w:eastAsia="en-GB"/>
        </w:rPr>
        <w:t> </w:t>
      </w:r>
    </w:p>
    <w:p w14:paraId="56D4C272" w14:textId="77777777" w:rsidR="00435380" w:rsidRPr="00435380" w:rsidRDefault="00435380" w:rsidP="00435380">
      <w:pPr>
        <w:jc w:val="both"/>
        <w:rPr>
          <w:sz w:val="22"/>
          <w:szCs w:val="22"/>
          <w:lang w:val="en-US"/>
        </w:rPr>
      </w:pPr>
      <w:r w:rsidRPr="00435380">
        <w:rPr>
          <w:sz w:val="22"/>
          <w:szCs w:val="22"/>
          <w:lang w:val="en-US"/>
        </w:rPr>
        <w:t>With more than €112 billion1 in assets under management, Amundi ETF, Indexing and Smart Beta is one of Amundi’s strategic business areas and is a key growth driver for the Group.</w:t>
      </w:r>
    </w:p>
    <w:p w14:paraId="3B347A1D" w14:textId="77777777" w:rsidR="00435380" w:rsidRPr="00435380" w:rsidRDefault="00435380" w:rsidP="00435380">
      <w:pPr>
        <w:jc w:val="both"/>
        <w:rPr>
          <w:sz w:val="22"/>
          <w:szCs w:val="22"/>
          <w:lang w:val="en-US"/>
        </w:rPr>
      </w:pPr>
      <w:r w:rsidRPr="00435380">
        <w:rPr>
          <w:sz w:val="22"/>
          <w:szCs w:val="22"/>
          <w:lang w:val="en-US"/>
        </w:rPr>
        <w:t xml:space="preserve"> </w:t>
      </w:r>
    </w:p>
    <w:p w14:paraId="673D772F" w14:textId="5BE93EDA" w:rsidR="00435380" w:rsidRPr="00435380" w:rsidRDefault="00435380" w:rsidP="00435380">
      <w:pPr>
        <w:jc w:val="both"/>
        <w:rPr>
          <w:sz w:val="22"/>
          <w:szCs w:val="22"/>
          <w:lang w:val="en-US"/>
        </w:rPr>
      </w:pPr>
      <w:r w:rsidRPr="00435380">
        <w:rPr>
          <w:sz w:val="22"/>
          <w:szCs w:val="22"/>
          <w:lang w:val="en-US"/>
        </w:rPr>
        <w:lastRenderedPageBreak/>
        <w:t xml:space="preserve">Amundi ETF, Indexing and Smart Beta business line provides investors </w:t>
      </w:r>
      <w:r w:rsidR="00731C32">
        <w:rPr>
          <w:sz w:val="22"/>
          <w:szCs w:val="22"/>
          <w:lang w:val="en-US"/>
        </w:rPr>
        <w:t>–</w:t>
      </w:r>
      <w:r w:rsidRPr="00435380">
        <w:rPr>
          <w:sz w:val="22"/>
          <w:szCs w:val="22"/>
          <w:lang w:val="en-US"/>
        </w:rPr>
        <w:t xml:space="preserve"> whether institutionals or distributors </w:t>
      </w:r>
      <w:r w:rsidR="00731C32">
        <w:rPr>
          <w:sz w:val="22"/>
          <w:szCs w:val="22"/>
          <w:lang w:val="en-US"/>
        </w:rPr>
        <w:t>–</w:t>
      </w:r>
      <w:r w:rsidRPr="00435380">
        <w:rPr>
          <w:sz w:val="22"/>
          <w:szCs w:val="22"/>
          <w:lang w:val="en-US"/>
        </w:rPr>
        <w:t xml:space="preserve"> with robust, innovative, and cost-efficient solutions, leveraging Amundi Group’s scale and large resources. The platform also offers investors fully customized solutions (ESG, Low Carbon, specific exclusions, risk constraints, etc.). </w:t>
      </w:r>
    </w:p>
    <w:p w14:paraId="3C123F4F" w14:textId="77777777" w:rsidR="00435380" w:rsidRPr="00435380" w:rsidRDefault="00435380" w:rsidP="00435380">
      <w:pPr>
        <w:jc w:val="both"/>
        <w:rPr>
          <w:sz w:val="22"/>
          <w:szCs w:val="22"/>
          <w:lang w:val="en-US"/>
        </w:rPr>
      </w:pPr>
      <w:r w:rsidRPr="00435380">
        <w:rPr>
          <w:sz w:val="22"/>
          <w:szCs w:val="22"/>
          <w:lang w:val="en-US"/>
        </w:rPr>
        <w:t xml:space="preserve"> </w:t>
      </w:r>
    </w:p>
    <w:p w14:paraId="573BF021" w14:textId="77777777" w:rsidR="00435380" w:rsidRDefault="00435380" w:rsidP="00435380">
      <w:pPr>
        <w:jc w:val="both"/>
        <w:rPr>
          <w:sz w:val="22"/>
          <w:szCs w:val="22"/>
          <w:lang w:val="en-US"/>
        </w:rPr>
      </w:pPr>
      <w:r w:rsidRPr="00435380">
        <w:rPr>
          <w:sz w:val="22"/>
          <w:szCs w:val="22"/>
          <w:lang w:val="en-US"/>
        </w:rPr>
        <w:t>With over 30 years of benchmark construction and replication expertise, Amundi is a trusted name in ETF &amp; Index management among the world’s largest institutions. The team is also recognized for its ability to develop Smart Beta &amp; Factor Investing solutions, with more than 10-year track-record.</w:t>
      </w:r>
    </w:p>
    <w:p w14:paraId="63FEDA6F" w14:textId="6F371052" w:rsidR="00435380" w:rsidRDefault="00435380" w:rsidP="00435380">
      <w:pPr>
        <w:jc w:val="both"/>
        <w:rPr>
          <w:sz w:val="22"/>
          <w:szCs w:val="22"/>
          <w:lang w:val="en-US"/>
        </w:rPr>
      </w:pPr>
    </w:p>
    <w:p w14:paraId="1CE7FB29" w14:textId="77777777" w:rsidR="00435380" w:rsidRPr="007D7E47" w:rsidRDefault="00435380" w:rsidP="00435380">
      <w:pPr>
        <w:autoSpaceDE w:val="0"/>
        <w:autoSpaceDN w:val="0"/>
        <w:spacing w:before="40" w:after="40" w:line="240" w:lineRule="atLeast"/>
        <w:jc w:val="both"/>
        <w:rPr>
          <w:sz w:val="28"/>
          <w:lang w:val="en-US"/>
        </w:rPr>
      </w:pPr>
      <w:r w:rsidRPr="007D7E47">
        <w:rPr>
          <w:sz w:val="20"/>
          <w:szCs w:val="16"/>
          <w:lang w:val="en-US"/>
        </w:rPr>
        <w:t xml:space="preserve">1- All figures and data are provided by Amundi ETF, Indexing &amp; Smart Beta at end </w:t>
      </w:r>
      <w:r>
        <w:rPr>
          <w:sz w:val="20"/>
          <w:szCs w:val="16"/>
          <w:lang w:val="en-US"/>
        </w:rPr>
        <w:t>March 2019</w:t>
      </w:r>
    </w:p>
    <w:p w14:paraId="2E7A1798" w14:textId="77777777" w:rsidR="00435380" w:rsidRDefault="00435380" w:rsidP="00435380">
      <w:pPr>
        <w:jc w:val="both"/>
        <w:rPr>
          <w:sz w:val="22"/>
          <w:szCs w:val="22"/>
          <w:lang w:val="en-US"/>
        </w:rPr>
      </w:pPr>
    </w:p>
    <w:p w14:paraId="70C746C5" w14:textId="77777777" w:rsidR="00213930" w:rsidRDefault="00213930" w:rsidP="00213930"/>
    <w:p w14:paraId="2EF3AE15" w14:textId="77777777" w:rsidR="00213930" w:rsidRPr="00367E63" w:rsidRDefault="00991059" w:rsidP="00455B88">
      <w:pPr>
        <w:spacing w:before="240" w:after="120"/>
        <w:jc w:val="center"/>
        <w:rPr>
          <w:b/>
          <w:bCs/>
          <w:sz w:val="28"/>
          <w:szCs w:val="28"/>
        </w:rPr>
      </w:pPr>
      <w:hyperlink r:id="rId20" w:history="1">
        <w:r w:rsidR="00213930" w:rsidRPr="00367E63">
          <w:rPr>
            <w:rStyle w:val="Lienhypertexte"/>
            <w:sz w:val="22"/>
            <w:szCs w:val="22"/>
          </w:rPr>
          <w:t>www.amundi.com</w:t>
        </w:r>
      </w:hyperlink>
    </w:p>
    <w:sectPr w:rsidR="00213930" w:rsidRPr="00367E63" w:rsidSect="00FD7765">
      <w:pgSz w:w="11906" w:h="16838"/>
      <w:pgMar w:top="851" w:right="1417" w:bottom="851" w:left="141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62A9" w14:textId="77777777" w:rsidR="00764161" w:rsidRDefault="00764161">
      <w:r>
        <w:separator/>
      </w:r>
    </w:p>
  </w:endnote>
  <w:endnote w:type="continuationSeparator" w:id="0">
    <w:p w14:paraId="702C23F7" w14:textId="77777777" w:rsidR="00764161" w:rsidRDefault="0076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9914" w14:textId="77777777" w:rsidR="00764161" w:rsidRDefault="00764161">
      <w:r>
        <w:separator/>
      </w:r>
    </w:p>
  </w:footnote>
  <w:footnote w:type="continuationSeparator" w:id="0">
    <w:p w14:paraId="015FA3D6" w14:textId="77777777" w:rsidR="00764161" w:rsidRDefault="00764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C0880"/>
    <w:multiLevelType w:val="hybridMultilevel"/>
    <w:tmpl w:val="794CD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BE70E9"/>
    <w:multiLevelType w:val="hybridMultilevel"/>
    <w:tmpl w:val="C2363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1D4E68"/>
    <w:multiLevelType w:val="hybridMultilevel"/>
    <w:tmpl w:val="476ED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C225CFE"/>
    <w:multiLevelType w:val="hybridMultilevel"/>
    <w:tmpl w:val="9578B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97BFD"/>
    <w:multiLevelType w:val="hybridMultilevel"/>
    <w:tmpl w:val="038A1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341AC5"/>
    <w:multiLevelType w:val="hybridMultilevel"/>
    <w:tmpl w:val="3AA43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A03C3C"/>
    <w:multiLevelType w:val="hybridMultilevel"/>
    <w:tmpl w:val="272C13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8D96066"/>
    <w:multiLevelType w:val="hybridMultilevel"/>
    <w:tmpl w:val="DC58B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D442DC"/>
    <w:multiLevelType w:val="hybridMultilevel"/>
    <w:tmpl w:val="656A08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13"/>
  </w:num>
  <w:num w:numId="6">
    <w:abstractNumId w:val="8"/>
  </w:num>
  <w:num w:numId="7">
    <w:abstractNumId w:val="19"/>
  </w:num>
  <w:num w:numId="8">
    <w:abstractNumId w:val="9"/>
  </w:num>
  <w:num w:numId="9">
    <w:abstractNumId w:val="7"/>
  </w:num>
  <w:num w:numId="10">
    <w:abstractNumId w:val="2"/>
  </w:num>
  <w:num w:numId="11">
    <w:abstractNumId w:val="14"/>
  </w:num>
  <w:num w:numId="12">
    <w:abstractNumId w:val="15"/>
  </w:num>
  <w:num w:numId="13">
    <w:abstractNumId w:val="17"/>
  </w:num>
  <w:num w:numId="14">
    <w:abstractNumId w:val="12"/>
  </w:num>
  <w:num w:numId="15">
    <w:abstractNumId w:val="16"/>
  </w:num>
  <w:num w:numId="16">
    <w:abstractNumId w:val="10"/>
  </w:num>
  <w:num w:numId="17">
    <w:abstractNumId w:val="18"/>
  </w:num>
  <w:num w:numId="18">
    <w:abstractNumId w:val="11"/>
  </w:num>
  <w:num w:numId="19">
    <w:abstractNumId w:val="4"/>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205D"/>
    <w:rsid w:val="000142CE"/>
    <w:rsid w:val="00023DEF"/>
    <w:rsid w:val="000300CC"/>
    <w:rsid w:val="00031786"/>
    <w:rsid w:val="0003189A"/>
    <w:rsid w:val="00034224"/>
    <w:rsid w:val="00034366"/>
    <w:rsid w:val="00034CB4"/>
    <w:rsid w:val="000357F8"/>
    <w:rsid w:val="0004070F"/>
    <w:rsid w:val="000751A5"/>
    <w:rsid w:val="00075A5B"/>
    <w:rsid w:val="00075C4A"/>
    <w:rsid w:val="00081376"/>
    <w:rsid w:val="0008374B"/>
    <w:rsid w:val="000867E0"/>
    <w:rsid w:val="00090DA7"/>
    <w:rsid w:val="0009369D"/>
    <w:rsid w:val="0009747F"/>
    <w:rsid w:val="000A0AEE"/>
    <w:rsid w:val="000A4C0A"/>
    <w:rsid w:val="000B3EAD"/>
    <w:rsid w:val="000C390B"/>
    <w:rsid w:val="000C3DBC"/>
    <w:rsid w:val="000C46F8"/>
    <w:rsid w:val="000D3AAA"/>
    <w:rsid w:val="000D5E26"/>
    <w:rsid w:val="000E0EDF"/>
    <w:rsid w:val="000E706B"/>
    <w:rsid w:val="000F1556"/>
    <w:rsid w:val="00101690"/>
    <w:rsid w:val="0010231C"/>
    <w:rsid w:val="00102B4A"/>
    <w:rsid w:val="00104363"/>
    <w:rsid w:val="00107976"/>
    <w:rsid w:val="00113480"/>
    <w:rsid w:val="00115871"/>
    <w:rsid w:val="00117F29"/>
    <w:rsid w:val="00121118"/>
    <w:rsid w:val="00124AB8"/>
    <w:rsid w:val="00125A7A"/>
    <w:rsid w:val="00125E83"/>
    <w:rsid w:val="001357C2"/>
    <w:rsid w:val="001372DA"/>
    <w:rsid w:val="00145D45"/>
    <w:rsid w:val="0014634C"/>
    <w:rsid w:val="001532CC"/>
    <w:rsid w:val="00155D22"/>
    <w:rsid w:val="001564BA"/>
    <w:rsid w:val="00157A34"/>
    <w:rsid w:val="001609A7"/>
    <w:rsid w:val="001661F2"/>
    <w:rsid w:val="001704C4"/>
    <w:rsid w:val="00173C06"/>
    <w:rsid w:val="00173E46"/>
    <w:rsid w:val="001837C4"/>
    <w:rsid w:val="001866B0"/>
    <w:rsid w:val="00193146"/>
    <w:rsid w:val="001A723F"/>
    <w:rsid w:val="001C1EE8"/>
    <w:rsid w:val="001D4033"/>
    <w:rsid w:val="001D6D13"/>
    <w:rsid w:val="001D7D8B"/>
    <w:rsid w:val="001D7FC9"/>
    <w:rsid w:val="001E1712"/>
    <w:rsid w:val="001F04CF"/>
    <w:rsid w:val="001F0B10"/>
    <w:rsid w:val="002009F9"/>
    <w:rsid w:val="002017F2"/>
    <w:rsid w:val="00205AF3"/>
    <w:rsid w:val="00206FCA"/>
    <w:rsid w:val="00210474"/>
    <w:rsid w:val="002127BD"/>
    <w:rsid w:val="00213930"/>
    <w:rsid w:val="00215304"/>
    <w:rsid w:val="00215790"/>
    <w:rsid w:val="00233EEB"/>
    <w:rsid w:val="002347F6"/>
    <w:rsid w:val="00244D37"/>
    <w:rsid w:val="00245F77"/>
    <w:rsid w:val="00252F1E"/>
    <w:rsid w:val="002531E2"/>
    <w:rsid w:val="00262300"/>
    <w:rsid w:val="00264B4E"/>
    <w:rsid w:val="002726B2"/>
    <w:rsid w:val="002727EB"/>
    <w:rsid w:val="00273A2B"/>
    <w:rsid w:val="00280304"/>
    <w:rsid w:val="00281809"/>
    <w:rsid w:val="0028334C"/>
    <w:rsid w:val="00290F13"/>
    <w:rsid w:val="00294183"/>
    <w:rsid w:val="002A0140"/>
    <w:rsid w:val="002B7194"/>
    <w:rsid w:val="002C1F95"/>
    <w:rsid w:val="002C5928"/>
    <w:rsid w:val="002E1030"/>
    <w:rsid w:val="002E4524"/>
    <w:rsid w:val="002E4F78"/>
    <w:rsid w:val="002E6F08"/>
    <w:rsid w:val="002F211C"/>
    <w:rsid w:val="002F45C6"/>
    <w:rsid w:val="002F4C43"/>
    <w:rsid w:val="002F6948"/>
    <w:rsid w:val="002F77B4"/>
    <w:rsid w:val="00306237"/>
    <w:rsid w:val="003163B7"/>
    <w:rsid w:val="00321867"/>
    <w:rsid w:val="00321D53"/>
    <w:rsid w:val="0032664E"/>
    <w:rsid w:val="003269F9"/>
    <w:rsid w:val="00334AD5"/>
    <w:rsid w:val="003475FA"/>
    <w:rsid w:val="003622AD"/>
    <w:rsid w:val="00367E63"/>
    <w:rsid w:val="00370573"/>
    <w:rsid w:val="00374981"/>
    <w:rsid w:val="00384921"/>
    <w:rsid w:val="00386F35"/>
    <w:rsid w:val="003939FB"/>
    <w:rsid w:val="00396101"/>
    <w:rsid w:val="003A0275"/>
    <w:rsid w:val="003A3A5B"/>
    <w:rsid w:val="003A3F4B"/>
    <w:rsid w:val="003B0827"/>
    <w:rsid w:val="003B13CC"/>
    <w:rsid w:val="003B3317"/>
    <w:rsid w:val="003C3444"/>
    <w:rsid w:val="003C44AB"/>
    <w:rsid w:val="003C6EA1"/>
    <w:rsid w:val="003D4812"/>
    <w:rsid w:val="003E02F0"/>
    <w:rsid w:val="003E7E9C"/>
    <w:rsid w:val="004040F1"/>
    <w:rsid w:val="004105F1"/>
    <w:rsid w:val="00413D4B"/>
    <w:rsid w:val="004143F7"/>
    <w:rsid w:val="00420378"/>
    <w:rsid w:val="00420874"/>
    <w:rsid w:val="00433382"/>
    <w:rsid w:val="004343B9"/>
    <w:rsid w:val="00435380"/>
    <w:rsid w:val="00445C91"/>
    <w:rsid w:val="004540A3"/>
    <w:rsid w:val="00455B88"/>
    <w:rsid w:val="00480E56"/>
    <w:rsid w:val="00481FCD"/>
    <w:rsid w:val="00484DB0"/>
    <w:rsid w:val="00486C35"/>
    <w:rsid w:val="004A4B81"/>
    <w:rsid w:val="004B0EBA"/>
    <w:rsid w:val="004B5E34"/>
    <w:rsid w:val="004C0B9D"/>
    <w:rsid w:val="004C3DC2"/>
    <w:rsid w:val="004D0478"/>
    <w:rsid w:val="004D7AEF"/>
    <w:rsid w:val="004E2B0F"/>
    <w:rsid w:val="004E6140"/>
    <w:rsid w:val="004F191F"/>
    <w:rsid w:val="004F7E21"/>
    <w:rsid w:val="00505219"/>
    <w:rsid w:val="005072DD"/>
    <w:rsid w:val="0051202B"/>
    <w:rsid w:val="00516969"/>
    <w:rsid w:val="00520781"/>
    <w:rsid w:val="00521A13"/>
    <w:rsid w:val="00533900"/>
    <w:rsid w:val="00536934"/>
    <w:rsid w:val="00537D6D"/>
    <w:rsid w:val="0054123D"/>
    <w:rsid w:val="00542CFE"/>
    <w:rsid w:val="00543DB4"/>
    <w:rsid w:val="00560A3B"/>
    <w:rsid w:val="0057120C"/>
    <w:rsid w:val="00572CF5"/>
    <w:rsid w:val="00573305"/>
    <w:rsid w:val="00575302"/>
    <w:rsid w:val="0059400D"/>
    <w:rsid w:val="00594602"/>
    <w:rsid w:val="0059691A"/>
    <w:rsid w:val="00597488"/>
    <w:rsid w:val="005A5781"/>
    <w:rsid w:val="005A6B89"/>
    <w:rsid w:val="005A6E35"/>
    <w:rsid w:val="005A74A5"/>
    <w:rsid w:val="005B413D"/>
    <w:rsid w:val="005B704C"/>
    <w:rsid w:val="005C03E7"/>
    <w:rsid w:val="005C0C35"/>
    <w:rsid w:val="005C35B9"/>
    <w:rsid w:val="005C3F17"/>
    <w:rsid w:val="005C432B"/>
    <w:rsid w:val="005C6B2A"/>
    <w:rsid w:val="005C7031"/>
    <w:rsid w:val="005C7F17"/>
    <w:rsid w:val="005D3B19"/>
    <w:rsid w:val="005E34E8"/>
    <w:rsid w:val="005E711B"/>
    <w:rsid w:val="005F0F9E"/>
    <w:rsid w:val="005F3172"/>
    <w:rsid w:val="00602229"/>
    <w:rsid w:val="0060588B"/>
    <w:rsid w:val="0060668E"/>
    <w:rsid w:val="006077E4"/>
    <w:rsid w:val="006214C7"/>
    <w:rsid w:val="006226EC"/>
    <w:rsid w:val="00624090"/>
    <w:rsid w:val="0062435F"/>
    <w:rsid w:val="00631ABF"/>
    <w:rsid w:val="00632401"/>
    <w:rsid w:val="0064260C"/>
    <w:rsid w:val="006428D6"/>
    <w:rsid w:val="00643293"/>
    <w:rsid w:val="006518B8"/>
    <w:rsid w:val="00653257"/>
    <w:rsid w:val="00664106"/>
    <w:rsid w:val="00676578"/>
    <w:rsid w:val="00681F03"/>
    <w:rsid w:val="006852C0"/>
    <w:rsid w:val="00687ED1"/>
    <w:rsid w:val="00693454"/>
    <w:rsid w:val="00696CD9"/>
    <w:rsid w:val="006A387E"/>
    <w:rsid w:val="006A5D54"/>
    <w:rsid w:val="006B11FA"/>
    <w:rsid w:val="006C40EB"/>
    <w:rsid w:val="006C4B58"/>
    <w:rsid w:val="006C5517"/>
    <w:rsid w:val="006D5506"/>
    <w:rsid w:val="006D6CB4"/>
    <w:rsid w:val="006E131C"/>
    <w:rsid w:val="006E40A9"/>
    <w:rsid w:val="006F556D"/>
    <w:rsid w:val="006F5DD4"/>
    <w:rsid w:val="0070004B"/>
    <w:rsid w:val="007016CB"/>
    <w:rsid w:val="0071093A"/>
    <w:rsid w:val="0071259B"/>
    <w:rsid w:val="00713BB0"/>
    <w:rsid w:val="00722CFD"/>
    <w:rsid w:val="007302BA"/>
    <w:rsid w:val="00731C32"/>
    <w:rsid w:val="0073265D"/>
    <w:rsid w:val="007501BB"/>
    <w:rsid w:val="00764161"/>
    <w:rsid w:val="007709A4"/>
    <w:rsid w:val="00772E45"/>
    <w:rsid w:val="00777A0A"/>
    <w:rsid w:val="00784271"/>
    <w:rsid w:val="00791A6F"/>
    <w:rsid w:val="007938F0"/>
    <w:rsid w:val="007A0008"/>
    <w:rsid w:val="007B007C"/>
    <w:rsid w:val="007B0232"/>
    <w:rsid w:val="007B0994"/>
    <w:rsid w:val="007B2C42"/>
    <w:rsid w:val="007B4229"/>
    <w:rsid w:val="007B5711"/>
    <w:rsid w:val="007B5DCD"/>
    <w:rsid w:val="007C18BD"/>
    <w:rsid w:val="007C59EC"/>
    <w:rsid w:val="007D13A1"/>
    <w:rsid w:val="007D68A9"/>
    <w:rsid w:val="007E7D85"/>
    <w:rsid w:val="007F187B"/>
    <w:rsid w:val="00803917"/>
    <w:rsid w:val="00803E40"/>
    <w:rsid w:val="00820BCF"/>
    <w:rsid w:val="00825005"/>
    <w:rsid w:val="00831A5A"/>
    <w:rsid w:val="00834927"/>
    <w:rsid w:val="00834D81"/>
    <w:rsid w:val="00836163"/>
    <w:rsid w:val="00853325"/>
    <w:rsid w:val="0085531E"/>
    <w:rsid w:val="0086106D"/>
    <w:rsid w:val="008612CE"/>
    <w:rsid w:val="00871C68"/>
    <w:rsid w:val="008804E2"/>
    <w:rsid w:val="00882E69"/>
    <w:rsid w:val="008908CF"/>
    <w:rsid w:val="0089438A"/>
    <w:rsid w:val="00894564"/>
    <w:rsid w:val="0089775C"/>
    <w:rsid w:val="00897BC4"/>
    <w:rsid w:val="008A3FAC"/>
    <w:rsid w:val="008A458A"/>
    <w:rsid w:val="008B6632"/>
    <w:rsid w:val="008D02EE"/>
    <w:rsid w:val="008E04DD"/>
    <w:rsid w:val="008E1589"/>
    <w:rsid w:val="008E272F"/>
    <w:rsid w:val="008F263A"/>
    <w:rsid w:val="008F4CDA"/>
    <w:rsid w:val="008F6181"/>
    <w:rsid w:val="0090347D"/>
    <w:rsid w:val="00906049"/>
    <w:rsid w:val="00907B27"/>
    <w:rsid w:val="009237C7"/>
    <w:rsid w:val="00925CF0"/>
    <w:rsid w:val="009345B2"/>
    <w:rsid w:val="009453A3"/>
    <w:rsid w:val="009534D5"/>
    <w:rsid w:val="0095356E"/>
    <w:rsid w:val="00961019"/>
    <w:rsid w:val="009715FD"/>
    <w:rsid w:val="009752DC"/>
    <w:rsid w:val="00980C18"/>
    <w:rsid w:val="00984AA2"/>
    <w:rsid w:val="00991059"/>
    <w:rsid w:val="0099381B"/>
    <w:rsid w:val="009A1EA4"/>
    <w:rsid w:val="009A1F44"/>
    <w:rsid w:val="009A4952"/>
    <w:rsid w:val="009A65C5"/>
    <w:rsid w:val="009A7F6F"/>
    <w:rsid w:val="009B1A1B"/>
    <w:rsid w:val="009B7FC2"/>
    <w:rsid w:val="009C01F2"/>
    <w:rsid w:val="009C1DE9"/>
    <w:rsid w:val="009C3C80"/>
    <w:rsid w:val="009D1631"/>
    <w:rsid w:val="009D1AEE"/>
    <w:rsid w:val="009D40E3"/>
    <w:rsid w:val="009D4424"/>
    <w:rsid w:val="009E48AD"/>
    <w:rsid w:val="009F150C"/>
    <w:rsid w:val="009F7892"/>
    <w:rsid w:val="00A0163C"/>
    <w:rsid w:val="00A0196F"/>
    <w:rsid w:val="00A03890"/>
    <w:rsid w:val="00A0394D"/>
    <w:rsid w:val="00A1019B"/>
    <w:rsid w:val="00A1500E"/>
    <w:rsid w:val="00A26EF2"/>
    <w:rsid w:val="00A34F12"/>
    <w:rsid w:val="00A35946"/>
    <w:rsid w:val="00A36B4F"/>
    <w:rsid w:val="00A37967"/>
    <w:rsid w:val="00A401F5"/>
    <w:rsid w:val="00A41352"/>
    <w:rsid w:val="00A45552"/>
    <w:rsid w:val="00A502F8"/>
    <w:rsid w:val="00A50F2B"/>
    <w:rsid w:val="00A52AE0"/>
    <w:rsid w:val="00A5393D"/>
    <w:rsid w:val="00A550CC"/>
    <w:rsid w:val="00A70A42"/>
    <w:rsid w:val="00A71244"/>
    <w:rsid w:val="00A763E8"/>
    <w:rsid w:val="00A76864"/>
    <w:rsid w:val="00A76A81"/>
    <w:rsid w:val="00A8502C"/>
    <w:rsid w:val="00A96A47"/>
    <w:rsid w:val="00AA0C4F"/>
    <w:rsid w:val="00AC0F65"/>
    <w:rsid w:val="00AC14C8"/>
    <w:rsid w:val="00AC210E"/>
    <w:rsid w:val="00AC5322"/>
    <w:rsid w:val="00AD3EBA"/>
    <w:rsid w:val="00AD6AA8"/>
    <w:rsid w:val="00AE2C81"/>
    <w:rsid w:val="00AE5609"/>
    <w:rsid w:val="00AF2BBF"/>
    <w:rsid w:val="00AF5D60"/>
    <w:rsid w:val="00B0249E"/>
    <w:rsid w:val="00B05EF4"/>
    <w:rsid w:val="00B06754"/>
    <w:rsid w:val="00B10275"/>
    <w:rsid w:val="00B1296D"/>
    <w:rsid w:val="00B1465B"/>
    <w:rsid w:val="00B22CF3"/>
    <w:rsid w:val="00B2357F"/>
    <w:rsid w:val="00B255EC"/>
    <w:rsid w:val="00B27288"/>
    <w:rsid w:val="00B3504A"/>
    <w:rsid w:val="00B406FA"/>
    <w:rsid w:val="00B4333E"/>
    <w:rsid w:val="00B470E3"/>
    <w:rsid w:val="00B50169"/>
    <w:rsid w:val="00B511AD"/>
    <w:rsid w:val="00B554C3"/>
    <w:rsid w:val="00B66FCF"/>
    <w:rsid w:val="00B73D40"/>
    <w:rsid w:val="00B754D4"/>
    <w:rsid w:val="00B777B5"/>
    <w:rsid w:val="00B82BA6"/>
    <w:rsid w:val="00B83B53"/>
    <w:rsid w:val="00B945AB"/>
    <w:rsid w:val="00B96BD2"/>
    <w:rsid w:val="00B96D53"/>
    <w:rsid w:val="00BA5EA8"/>
    <w:rsid w:val="00BB1D2F"/>
    <w:rsid w:val="00BB3D1D"/>
    <w:rsid w:val="00BB45D6"/>
    <w:rsid w:val="00BB5D74"/>
    <w:rsid w:val="00BC3B49"/>
    <w:rsid w:val="00BC5228"/>
    <w:rsid w:val="00BD1D1F"/>
    <w:rsid w:val="00BD4CA1"/>
    <w:rsid w:val="00BD7110"/>
    <w:rsid w:val="00BE2A34"/>
    <w:rsid w:val="00BE5B43"/>
    <w:rsid w:val="00BE6B5A"/>
    <w:rsid w:val="00BF0490"/>
    <w:rsid w:val="00BF16AB"/>
    <w:rsid w:val="00C03DC6"/>
    <w:rsid w:val="00C1408A"/>
    <w:rsid w:val="00C144BF"/>
    <w:rsid w:val="00C203DD"/>
    <w:rsid w:val="00C2199C"/>
    <w:rsid w:val="00C22824"/>
    <w:rsid w:val="00C24EB3"/>
    <w:rsid w:val="00C25A21"/>
    <w:rsid w:val="00C264A8"/>
    <w:rsid w:val="00C359CC"/>
    <w:rsid w:val="00C36475"/>
    <w:rsid w:val="00C45A94"/>
    <w:rsid w:val="00C51442"/>
    <w:rsid w:val="00C518EB"/>
    <w:rsid w:val="00C551E9"/>
    <w:rsid w:val="00C55CF6"/>
    <w:rsid w:val="00C62F5F"/>
    <w:rsid w:val="00C63DB4"/>
    <w:rsid w:val="00C677B3"/>
    <w:rsid w:val="00C70BE1"/>
    <w:rsid w:val="00C74261"/>
    <w:rsid w:val="00C770C4"/>
    <w:rsid w:val="00C90392"/>
    <w:rsid w:val="00C92A77"/>
    <w:rsid w:val="00C93AE1"/>
    <w:rsid w:val="00C97A7F"/>
    <w:rsid w:val="00CA71C7"/>
    <w:rsid w:val="00CB249B"/>
    <w:rsid w:val="00CB2EA0"/>
    <w:rsid w:val="00CC0FCA"/>
    <w:rsid w:val="00CC486D"/>
    <w:rsid w:val="00CC5882"/>
    <w:rsid w:val="00CC7899"/>
    <w:rsid w:val="00CD7DDD"/>
    <w:rsid w:val="00CE3E70"/>
    <w:rsid w:val="00CE5886"/>
    <w:rsid w:val="00CE5D03"/>
    <w:rsid w:val="00CE74C7"/>
    <w:rsid w:val="00CF10C0"/>
    <w:rsid w:val="00CF19D2"/>
    <w:rsid w:val="00CF3168"/>
    <w:rsid w:val="00CF6614"/>
    <w:rsid w:val="00D046A6"/>
    <w:rsid w:val="00D0774B"/>
    <w:rsid w:val="00D144A2"/>
    <w:rsid w:val="00D14CF8"/>
    <w:rsid w:val="00D30976"/>
    <w:rsid w:val="00D42461"/>
    <w:rsid w:val="00D47B8D"/>
    <w:rsid w:val="00D53DAF"/>
    <w:rsid w:val="00D54767"/>
    <w:rsid w:val="00D556E9"/>
    <w:rsid w:val="00D55EAD"/>
    <w:rsid w:val="00D56036"/>
    <w:rsid w:val="00D71841"/>
    <w:rsid w:val="00D7307C"/>
    <w:rsid w:val="00D7670D"/>
    <w:rsid w:val="00D77408"/>
    <w:rsid w:val="00D8586F"/>
    <w:rsid w:val="00D90407"/>
    <w:rsid w:val="00D94321"/>
    <w:rsid w:val="00D974BB"/>
    <w:rsid w:val="00D975ED"/>
    <w:rsid w:val="00DA6881"/>
    <w:rsid w:val="00DB58DC"/>
    <w:rsid w:val="00DC2FB8"/>
    <w:rsid w:val="00DC7244"/>
    <w:rsid w:val="00DD0876"/>
    <w:rsid w:val="00DD3833"/>
    <w:rsid w:val="00DD6134"/>
    <w:rsid w:val="00DD73D9"/>
    <w:rsid w:val="00DE5CFE"/>
    <w:rsid w:val="00DF292E"/>
    <w:rsid w:val="00DF52B6"/>
    <w:rsid w:val="00E00584"/>
    <w:rsid w:val="00E10B7E"/>
    <w:rsid w:val="00E11F6E"/>
    <w:rsid w:val="00E14C28"/>
    <w:rsid w:val="00E21C77"/>
    <w:rsid w:val="00E24888"/>
    <w:rsid w:val="00E24956"/>
    <w:rsid w:val="00E27DC5"/>
    <w:rsid w:val="00E4154B"/>
    <w:rsid w:val="00E4196C"/>
    <w:rsid w:val="00E42A81"/>
    <w:rsid w:val="00E43EA3"/>
    <w:rsid w:val="00E512F1"/>
    <w:rsid w:val="00E571FE"/>
    <w:rsid w:val="00E64C5E"/>
    <w:rsid w:val="00E71A13"/>
    <w:rsid w:val="00E75D2E"/>
    <w:rsid w:val="00E85C7B"/>
    <w:rsid w:val="00E92E6B"/>
    <w:rsid w:val="00E9390C"/>
    <w:rsid w:val="00E95422"/>
    <w:rsid w:val="00E96C22"/>
    <w:rsid w:val="00E97C43"/>
    <w:rsid w:val="00EA454E"/>
    <w:rsid w:val="00EA78CF"/>
    <w:rsid w:val="00EB15D1"/>
    <w:rsid w:val="00EB74B8"/>
    <w:rsid w:val="00EE5AD6"/>
    <w:rsid w:val="00EF5036"/>
    <w:rsid w:val="00EF509D"/>
    <w:rsid w:val="00EF6CB9"/>
    <w:rsid w:val="00EF7535"/>
    <w:rsid w:val="00F05838"/>
    <w:rsid w:val="00F11C86"/>
    <w:rsid w:val="00F22148"/>
    <w:rsid w:val="00F26579"/>
    <w:rsid w:val="00F27D38"/>
    <w:rsid w:val="00F30995"/>
    <w:rsid w:val="00F31DB1"/>
    <w:rsid w:val="00F362E4"/>
    <w:rsid w:val="00F374B3"/>
    <w:rsid w:val="00F409B2"/>
    <w:rsid w:val="00F44793"/>
    <w:rsid w:val="00F46B57"/>
    <w:rsid w:val="00F51162"/>
    <w:rsid w:val="00F52B83"/>
    <w:rsid w:val="00F54BEB"/>
    <w:rsid w:val="00F569C7"/>
    <w:rsid w:val="00F628BA"/>
    <w:rsid w:val="00F64DEE"/>
    <w:rsid w:val="00F67B1B"/>
    <w:rsid w:val="00F67D19"/>
    <w:rsid w:val="00F73560"/>
    <w:rsid w:val="00F86AC7"/>
    <w:rsid w:val="00F87770"/>
    <w:rsid w:val="00F92DA1"/>
    <w:rsid w:val="00FA0D03"/>
    <w:rsid w:val="00FA25C4"/>
    <w:rsid w:val="00FA2DB0"/>
    <w:rsid w:val="00FA37D2"/>
    <w:rsid w:val="00FC7DBB"/>
    <w:rsid w:val="00FD44AD"/>
    <w:rsid w:val="00FD7765"/>
    <w:rsid w:val="00FE4298"/>
    <w:rsid w:val="00FF1D3F"/>
    <w:rsid w:val="00FF1F8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7969971"/>
  <w15:docId w15:val="{C3FD9505-58AC-4890-8EB0-72737270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76"/>
    <w:rPr>
      <w:sz w:val="24"/>
      <w:szCs w:val="24"/>
      <w:lang w:val="en-GB"/>
    </w:rPr>
  </w:style>
  <w:style w:type="paragraph" w:styleId="Titre1">
    <w:name w:val="heading 1"/>
    <w:basedOn w:val="Normal"/>
    <w:next w:val="Normal"/>
    <w:link w:val="Titre1Car"/>
    <w:qFormat/>
    <w:rsid w:val="00DD0876"/>
    <w:pPr>
      <w:keepNext/>
      <w:spacing w:line="300" w:lineRule="atLeast"/>
      <w:jc w:val="center"/>
      <w:outlineLvl w:val="0"/>
    </w:pPr>
    <w:rPr>
      <w:rFonts w:ascii="CG Times (PCL6)" w:hAnsi="CG Times (PCL6)"/>
      <w:b/>
      <w:bCs/>
      <w:snapToGrid w:val="0"/>
      <w:sz w:val="22"/>
      <w:szCs w:val="22"/>
    </w:rPr>
  </w:style>
  <w:style w:type="paragraph" w:styleId="Titre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0876"/>
    <w:rPr>
      <w:color w:val="0000FF"/>
      <w:u w:val="single"/>
    </w:rPr>
  </w:style>
  <w:style w:type="paragraph" w:styleId="En-tte">
    <w:name w:val="header"/>
    <w:basedOn w:val="Normal"/>
    <w:rsid w:val="00DD0876"/>
    <w:pPr>
      <w:tabs>
        <w:tab w:val="center" w:pos="4536"/>
        <w:tab w:val="right" w:pos="9072"/>
      </w:tabs>
    </w:pPr>
    <w:rPr>
      <w:sz w:val="20"/>
      <w:szCs w:val="20"/>
    </w:rPr>
  </w:style>
  <w:style w:type="paragraph" w:styleId="Pieddepage">
    <w:name w:val="footer"/>
    <w:basedOn w:val="Normal"/>
    <w:link w:val="PieddepageCar"/>
    <w:rsid w:val="00DD0876"/>
    <w:pPr>
      <w:tabs>
        <w:tab w:val="center" w:pos="4536"/>
        <w:tab w:val="right" w:pos="9072"/>
      </w:tabs>
    </w:pPr>
  </w:style>
  <w:style w:type="character" w:styleId="Lienhypertextesuivivisit">
    <w:name w:val="FollowedHyperlink"/>
    <w:basedOn w:val="Policepardfaut"/>
    <w:rsid w:val="00DD0876"/>
    <w:rPr>
      <w:color w:val="800080"/>
      <w:u w:val="single"/>
    </w:rPr>
  </w:style>
  <w:style w:type="paragraph" w:styleId="Corpsdetexte">
    <w:name w:val="Body Text"/>
    <w:basedOn w:val="Normal"/>
    <w:rsid w:val="00DD0876"/>
    <w:pPr>
      <w:jc w:val="both"/>
    </w:pPr>
    <w:rPr>
      <w:rFonts w:ascii="Arial Narrow" w:hAnsi="Arial Narrow"/>
      <w:snapToGrid w:val="0"/>
      <w:sz w:val="22"/>
      <w:szCs w:val="22"/>
    </w:rPr>
  </w:style>
  <w:style w:type="paragraph" w:styleId="Retraitcorpsdetexte">
    <w:name w:val="Body Text Indent"/>
    <w:basedOn w:val="Normal"/>
    <w:rsid w:val="00DD0876"/>
    <w:pPr>
      <w:spacing w:after="120"/>
      <w:ind w:left="283"/>
    </w:pPr>
  </w:style>
  <w:style w:type="paragraph" w:styleId="Corpsdetexte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rsid w:val="00DD0876"/>
    <w:pPr>
      <w:spacing w:before="150" w:line="348" w:lineRule="auto"/>
    </w:pPr>
    <w:rPr>
      <w:lang w:val="fr-FR"/>
    </w:rPr>
  </w:style>
  <w:style w:type="paragraph" w:styleId="Notedebasdepage">
    <w:name w:val="footnote text"/>
    <w:basedOn w:val="Normal"/>
    <w:semiHidden/>
    <w:rsid w:val="00D556E9"/>
    <w:rPr>
      <w:sz w:val="20"/>
      <w:szCs w:val="20"/>
    </w:rPr>
  </w:style>
  <w:style w:type="character" w:styleId="Appelnotedebasdep">
    <w:name w:val="footnote reference"/>
    <w:basedOn w:val="Policepardfaut"/>
    <w:uiPriority w:val="99"/>
    <w:semiHidden/>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PieddepageCar">
    <w:name w:val="Pied de page Car"/>
    <w:link w:val="Pieddepage"/>
    <w:rsid w:val="00117F29"/>
    <w:rPr>
      <w:sz w:val="24"/>
      <w:szCs w:val="24"/>
      <w:lang w:val="en-GB"/>
    </w:rPr>
  </w:style>
  <w:style w:type="character" w:customStyle="1" w:styleId="Titre1Car">
    <w:name w:val="Titre 1 Car"/>
    <w:basedOn w:val="Policepardfaut"/>
    <w:link w:val="Titre1"/>
    <w:rsid w:val="003269F9"/>
    <w:rPr>
      <w:rFonts w:ascii="CG Times (PCL6)" w:hAnsi="CG Times (PCL6)"/>
      <w:b/>
      <w:bCs/>
      <w:snapToGrid w:val="0"/>
      <w:sz w:val="22"/>
      <w:szCs w:val="22"/>
      <w:lang w:val="en-GB"/>
    </w:rPr>
  </w:style>
  <w:style w:type="character" w:styleId="Marquedecommentaire">
    <w:name w:val="annotation reference"/>
    <w:basedOn w:val="Policepardfaut"/>
    <w:unhideWhenUsed/>
    <w:rsid w:val="00772E45"/>
    <w:rPr>
      <w:sz w:val="16"/>
      <w:szCs w:val="16"/>
    </w:rPr>
  </w:style>
  <w:style w:type="paragraph" w:styleId="Commentaire">
    <w:name w:val="annotation text"/>
    <w:basedOn w:val="Normal"/>
    <w:link w:val="CommentaireCar"/>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aireCar">
    <w:name w:val="Commentaire Car"/>
    <w:basedOn w:val="Policepardfaut"/>
    <w:link w:val="Commentaire"/>
    <w:rsid w:val="00772E45"/>
    <w:rPr>
      <w:rFonts w:ascii="Calibri" w:eastAsiaTheme="minorHAnsi" w:hAnsi="Calibri" w:cstheme="minorBidi"/>
      <w:sz w:val="22"/>
      <w:szCs w:val="22"/>
      <w:lang w:val="en-GB" w:eastAsia="en-US"/>
    </w:rPr>
  </w:style>
  <w:style w:type="paragraph" w:styleId="Textedebulles">
    <w:name w:val="Balloon Text"/>
    <w:basedOn w:val="Normal"/>
    <w:link w:val="TextedebullesCar"/>
    <w:rsid w:val="00772E45"/>
    <w:rPr>
      <w:rFonts w:ascii="Tahoma" w:hAnsi="Tahoma" w:cs="Tahoma"/>
      <w:sz w:val="16"/>
      <w:szCs w:val="16"/>
    </w:rPr>
  </w:style>
  <w:style w:type="character" w:customStyle="1" w:styleId="TextedebullesCar">
    <w:name w:val="Texte de bulles Car"/>
    <w:basedOn w:val="Policepardfaut"/>
    <w:link w:val="Textedebulles"/>
    <w:rsid w:val="00772E45"/>
    <w:rPr>
      <w:rFonts w:ascii="Tahoma" w:hAnsi="Tahoma" w:cs="Tahoma"/>
      <w:sz w:val="16"/>
      <w:szCs w:val="16"/>
      <w:lang w:val="en-GB"/>
    </w:rPr>
  </w:style>
  <w:style w:type="paragraph" w:styleId="Paragraphedeliste">
    <w:name w:val="List Paragraph"/>
    <w:basedOn w:val="Normal"/>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Objetducommentaire">
    <w:name w:val="annotation subject"/>
    <w:basedOn w:val="Commentaire"/>
    <w:next w:val="Commentaire"/>
    <w:link w:val="ObjetducommentaireCar"/>
    <w:semiHidden/>
    <w:unhideWhenUsed/>
    <w:rsid w:val="00C92A77"/>
    <w:pPr>
      <w:tabs>
        <w:tab w:val="clear" w:pos="709"/>
      </w:tabs>
      <w:spacing w:after="0" w:line="240" w:lineRule="auto"/>
      <w:jc w:val="left"/>
    </w:pPr>
    <w:rPr>
      <w:rFonts w:ascii="Times New Roman" w:eastAsia="Times New Roman" w:hAnsi="Times New Roman" w:cs="Times New Roman"/>
      <w:b/>
      <w:bCs/>
      <w:sz w:val="20"/>
      <w:szCs w:val="20"/>
      <w:lang w:eastAsia="fr-FR"/>
    </w:rPr>
  </w:style>
  <w:style w:type="character" w:customStyle="1" w:styleId="ObjetducommentaireCar">
    <w:name w:val="Objet du commentaire Car"/>
    <w:basedOn w:val="CommentaireCar"/>
    <w:link w:val="Objetducommentaire"/>
    <w:semiHidden/>
    <w:rsid w:val="00C92A77"/>
    <w:rPr>
      <w:rFonts w:ascii="Calibri" w:eastAsiaTheme="minorHAnsi" w:hAnsi="Calibri" w:cstheme="minorBidi"/>
      <w:b/>
      <w:bCs/>
      <w:sz w:val="22"/>
      <w:szCs w:val="22"/>
      <w:lang w:val="en-GB" w:eastAsia="en-US"/>
    </w:rPr>
  </w:style>
  <w:style w:type="paragraph" w:styleId="Rvision">
    <w:name w:val="Revision"/>
    <w:hidden/>
    <w:uiPriority w:val="99"/>
    <w:semiHidden/>
    <w:rsid w:val="00C92A77"/>
    <w:rPr>
      <w:sz w:val="24"/>
      <w:szCs w:val="24"/>
      <w:lang w:val="en-GB"/>
    </w:rPr>
  </w:style>
  <w:style w:type="character" w:customStyle="1" w:styleId="apple-converted-space">
    <w:name w:val="apple-converted-space"/>
    <w:basedOn w:val="Policepardfaut"/>
    <w:rsid w:val="0060668E"/>
  </w:style>
  <w:style w:type="paragraph" w:customStyle="1" w:styleId="amundibasictext">
    <w:name w:val="amundibasictext"/>
    <w:basedOn w:val="Normal"/>
    <w:rsid w:val="000A4C0A"/>
    <w:pPr>
      <w:spacing w:before="120" w:after="120" w:line="220" w:lineRule="atLeast"/>
      <w:jc w:val="both"/>
    </w:pPr>
    <w:rPr>
      <w:rFonts w:ascii="Arial" w:eastAsiaTheme="minorEastAsia" w:hAnsi="Arial" w:cs="Arial"/>
      <w:color w:val="000000"/>
      <w:sz w:val="20"/>
      <w:szCs w:val="20"/>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675">
      <w:bodyDiv w:val="1"/>
      <w:marLeft w:val="0"/>
      <w:marRight w:val="0"/>
      <w:marTop w:val="0"/>
      <w:marBottom w:val="0"/>
      <w:divBdr>
        <w:top w:val="none" w:sz="0" w:space="0" w:color="auto"/>
        <w:left w:val="none" w:sz="0" w:space="0" w:color="auto"/>
        <w:bottom w:val="none" w:sz="0" w:space="0" w:color="auto"/>
        <w:right w:val="none" w:sz="0" w:space="0" w:color="auto"/>
      </w:divBdr>
    </w:div>
    <w:div w:id="174854309">
      <w:bodyDiv w:val="1"/>
      <w:marLeft w:val="0"/>
      <w:marRight w:val="0"/>
      <w:marTop w:val="0"/>
      <w:marBottom w:val="0"/>
      <w:divBdr>
        <w:top w:val="none" w:sz="0" w:space="0" w:color="auto"/>
        <w:left w:val="none" w:sz="0" w:space="0" w:color="auto"/>
        <w:bottom w:val="none" w:sz="0" w:space="0" w:color="auto"/>
        <w:right w:val="none" w:sz="0" w:space="0" w:color="auto"/>
      </w:divBdr>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446703266">
      <w:bodyDiv w:val="1"/>
      <w:marLeft w:val="0"/>
      <w:marRight w:val="0"/>
      <w:marTop w:val="0"/>
      <w:marBottom w:val="0"/>
      <w:divBdr>
        <w:top w:val="none" w:sz="0" w:space="0" w:color="auto"/>
        <w:left w:val="none" w:sz="0" w:space="0" w:color="auto"/>
        <w:bottom w:val="none" w:sz="0" w:space="0" w:color="auto"/>
        <w:right w:val="none" w:sz="0" w:space="0" w:color="auto"/>
      </w:divBdr>
      <w:divsChild>
        <w:div w:id="349992288">
          <w:marLeft w:val="0"/>
          <w:marRight w:val="0"/>
          <w:marTop w:val="0"/>
          <w:marBottom w:val="0"/>
          <w:divBdr>
            <w:top w:val="none" w:sz="0" w:space="0" w:color="auto"/>
            <w:left w:val="none" w:sz="0" w:space="0" w:color="auto"/>
            <w:bottom w:val="single" w:sz="8" w:space="2" w:color="000000"/>
            <w:right w:val="none" w:sz="0" w:space="0" w:color="auto"/>
          </w:divBdr>
        </w:div>
        <w:div w:id="1748334290">
          <w:marLeft w:val="0"/>
          <w:marRight w:val="0"/>
          <w:marTop w:val="0"/>
          <w:marBottom w:val="0"/>
          <w:divBdr>
            <w:top w:val="none" w:sz="0" w:space="0" w:color="auto"/>
            <w:left w:val="none" w:sz="0" w:space="0" w:color="auto"/>
            <w:bottom w:val="single" w:sz="8" w:space="2" w:color="000000"/>
            <w:right w:val="none" w:sz="0" w:space="0" w:color="auto"/>
          </w:divBdr>
        </w:div>
        <w:div w:id="1882083868">
          <w:marLeft w:val="0"/>
          <w:marRight w:val="0"/>
          <w:marTop w:val="0"/>
          <w:marBottom w:val="0"/>
          <w:divBdr>
            <w:top w:val="none" w:sz="0" w:space="0" w:color="auto"/>
            <w:left w:val="none" w:sz="0" w:space="0" w:color="auto"/>
            <w:bottom w:val="single" w:sz="8" w:space="2" w:color="000000"/>
            <w:right w:val="none" w:sz="0" w:space="0" w:color="auto"/>
          </w:divBdr>
        </w:div>
      </w:divsChild>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885337621">
      <w:bodyDiv w:val="1"/>
      <w:marLeft w:val="0"/>
      <w:marRight w:val="0"/>
      <w:marTop w:val="0"/>
      <w:marBottom w:val="0"/>
      <w:divBdr>
        <w:top w:val="none" w:sz="0" w:space="0" w:color="auto"/>
        <w:left w:val="none" w:sz="0" w:space="0" w:color="auto"/>
        <w:bottom w:val="none" w:sz="0" w:space="0" w:color="auto"/>
        <w:right w:val="none" w:sz="0" w:space="0" w:color="auto"/>
      </w:divBdr>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80992">
      <w:bodyDiv w:val="1"/>
      <w:marLeft w:val="0"/>
      <w:marRight w:val="0"/>
      <w:marTop w:val="0"/>
      <w:marBottom w:val="0"/>
      <w:divBdr>
        <w:top w:val="none" w:sz="0" w:space="0" w:color="auto"/>
        <w:left w:val="none" w:sz="0" w:space="0" w:color="auto"/>
        <w:bottom w:val="none" w:sz="0" w:space="0" w:color="auto"/>
        <w:right w:val="none" w:sz="0" w:space="0" w:color="auto"/>
      </w:divBdr>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821460816">
      <w:bodyDiv w:val="1"/>
      <w:marLeft w:val="0"/>
      <w:marRight w:val="0"/>
      <w:marTop w:val="0"/>
      <w:marBottom w:val="0"/>
      <w:divBdr>
        <w:top w:val="none" w:sz="0" w:space="0" w:color="auto"/>
        <w:left w:val="none" w:sz="0" w:space="0" w:color="auto"/>
        <w:bottom w:val="none" w:sz="0" w:space="0" w:color="auto"/>
        <w:right w:val="none" w:sz="0" w:space="0" w:color="auto"/>
      </w:divBdr>
    </w:div>
    <w:div w:id="1838374815">
      <w:bodyDiv w:val="1"/>
      <w:marLeft w:val="0"/>
      <w:marRight w:val="0"/>
      <w:marTop w:val="0"/>
      <w:marBottom w:val="0"/>
      <w:divBdr>
        <w:top w:val="none" w:sz="0" w:space="0" w:color="auto"/>
        <w:left w:val="none" w:sz="0" w:space="0" w:color="auto"/>
        <w:bottom w:val="none" w:sz="0" w:space="0" w:color="auto"/>
        <w:right w:val="none" w:sz="0" w:space="0" w:color="auto"/>
      </w:divBdr>
    </w:div>
    <w:div w:id="1889681553">
      <w:bodyDiv w:val="1"/>
      <w:marLeft w:val="0"/>
      <w:marRight w:val="0"/>
      <w:marTop w:val="0"/>
      <w:marBottom w:val="0"/>
      <w:divBdr>
        <w:top w:val="none" w:sz="0" w:space="0" w:color="auto"/>
        <w:left w:val="none" w:sz="0" w:space="0" w:color="auto"/>
        <w:bottom w:val="none" w:sz="0" w:space="0" w:color="auto"/>
        <w:right w:val="none" w:sz="0" w:space="0" w:color="auto"/>
      </w:divBdr>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risk.edhec.edu/bond-risk-premium-moni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risk.edhec.edu/indices-investment-solutions" TargetMode="External"/><Relationship Id="rId2" Type="http://schemas.openxmlformats.org/officeDocument/2006/relationships/numbering" Target="numbering.xml"/><Relationship Id="rId16" Type="http://schemas.openxmlformats.org/officeDocument/2006/relationships/hyperlink" Target="https://risk.edhec.edu" TargetMode="External"/><Relationship Id="rId20" Type="http://schemas.openxmlformats.org/officeDocument/2006/relationships/hyperlink" Target="http://www.amund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dhec-risk.com" TargetMode="External"/><Relationship Id="rId10" Type="http://schemas.openxmlformats.org/officeDocument/2006/relationships/hyperlink" Target="https://risk.edhec.edu/edito-edhec-risk-factor-investing-sovereign-bond-universes" TargetMode="External"/><Relationship Id="rId19" Type="http://schemas.openxmlformats.org/officeDocument/2006/relationships/hyperlink" Target="https://risk.edhec.edu/edhec-risk-investment-solutions" TargetMode="External"/><Relationship Id="rId4" Type="http://schemas.openxmlformats.org/officeDocument/2006/relationships/settings" Target="settings.xml"/><Relationship Id="rId9" Type="http://schemas.openxmlformats.org/officeDocument/2006/relationships/hyperlink" Target="http://docs.edhec-risk.com/mrk/000000/Publication/ERI_Publication_FactorInvesting_in_Sovereign_Bond_Markets_Online.pdf" TargetMode="External"/><Relationship Id="rId14" Type="http://schemas.openxmlformats.org/officeDocument/2006/relationships/hyperlink" Target="mailto:maud.gauchon@edhec-ris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8D08-FDAB-417E-A948-C0629C8E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1472</Words>
  <Characters>9153</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 EDHEC-Risk</vt:lpstr>
      <vt:lpstr>Press Release EDHEC-Risk</vt:lpstr>
    </vt:vector>
  </TitlesOfParts>
  <Company>misys</Company>
  <LinksUpToDate>false</LinksUpToDate>
  <CharactersWithSpaces>10604</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EDHEC-Risk</dc:title>
  <dc:creator>GAUCHON Maud</dc:creator>
  <cp:lastModifiedBy>GAUCHON Maud</cp:lastModifiedBy>
  <cp:revision>5</cp:revision>
  <cp:lastPrinted>2019-05-06T14:07:00Z</cp:lastPrinted>
  <dcterms:created xsi:type="dcterms:W3CDTF">2019-05-14T08:02:00Z</dcterms:created>
  <dcterms:modified xsi:type="dcterms:W3CDTF">2019-05-14T14:47:00Z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