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756EE" w14:textId="77777777" w:rsidR="004D0478" w:rsidRPr="00E06A42" w:rsidRDefault="00632401">
      <w:pPr>
        <w:spacing w:line="280" w:lineRule="exact"/>
        <w:jc w:val="center"/>
        <w:rPr>
          <w:b/>
          <w:sz w:val="26"/>
        </w:rPr>
      </w:pPr>
      <w:r w:rsidRPr="00E06A42">
        <w:rPr>
          <w:noProof/>
          <w:lang w:val="fr-FR"/>
        </w:rPr>
        <w:drawing>
          <wp:anchor distT="0" distB="0" distL="114300" distR="114300" simplePos="0" relativeHeight="251656704" behindDoc="0" locked="0" layoutInCell="1" allowOverlap="1" wp14:anchorId="6F5D43A2" wp14:editId="67F89057">
            <wp:simplePos x="0" y="0"/>
            <wp:positionH relativeFrom="column">
              <wp:posOffset>1485900</wp:posOffset>
            </wp:positionH>
            <wp:positionV relativeFrom="paragraph">
              <wp:posOffset>-228600</wp:posOffset>
            </wp:positionV>
            <wp:extent cx="2171700" cy="848995"/>
            <wp:effectExtent l="19050" t="0" r="0" b="0"/>
            <wp:wrapNone/>
            <wp:docPr id="18" name="Picture 18" descr="edhec-risk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dhec-risk institute"/>
                    <pic:cNvPicPr>
                      <a:picLocks noChangeAspect="1" noChangeArrowheads="1"/>
                    </pic:cNvPicPr>
                  </pic:nvPicPr>
                  <pic:blipFill>
                    <a:blip r:embed="rId8" cstate="print"/>
                    <a:srcRect/>
                    <a:stretch>
                      <a:fillRect/>
                    </a:stretch>
                  </pic:blipFill>
                  <pic:spPr bwMode="auto">
                    <a:xfrm>
                      <a:off x="0" y="0"/>
                      <a:ext cx="2171700" cy="848995"/>
                    </a:xfrm>
                    <a:prstGeom prst="rect">
                      <a:avLst/>
                    </a:prstGeom>
                    <a:noFill/>
                    <a:ln w="9525">
                      <a:noFill/>
                      <a:miter lim="800000"/>
                      <a:headEnd/>
                      <a:tailEnd/>
                    </a:ln>
                  </pic:spPr>
                </pic:pic>
              </a:graphicData>
            </a:graphic>
          </wp:anchor>
        </w:drawing>
      </w:r>
    </w:p>
    <w:p w14:paraId="2BEEBD82" w14:textId="77777777" w:rsidR="00C203DD" w:rsidRPr="00E06A42" w:rsidRDefault="00C203DD">
      <w:pPr>
        <w:pStyle w:val="En-tte"/>
        <w:tabs>
          <w:tab w:val="clear" w:pos="4536"/>
          <w:tab w:val="clear" w:pos="9072"/>
        </w:tabs>
        <w:rPr>
          <w:b/>
          <w:sz w:val="32"/>
        </w:rPr>
      </w:pPr>
    </w:p>
    <w:p w14:paraId="00E8DDED" w14:textId="77777777" w:rsidR="0009747F" w:rsidRPr="00E06A42" w:rsidRDefault="0009747F">
      <w:pPr>
        <w:pStyle w:val="En-tte"/>
        <w:tabs>
          <w:tab w:val="clear" w:pos="4536"/>
          <w:tab w:val="clear" w:pos="9072"/>
        </w:tabs>
        <w:rPr>
          <w:b/>
          <w:sz w:val="32"/>
        </w:rPr>
      </w:pPr>
    </w:p>
    <w:p w14:paraId="00967B55" w14:textId="77777777" w:rsidR="00AF2BBF" w:rsidRPr="00E06A42" w:rsidRDefault="00AF2BBF">
      <w:pPr>
        <w:pStyle w:val="En-tte"/>
        <w:tabs>
          <w:tab w:val="clear" w:pos="4536"/>
          <w:tab w:val="clear" w:pos="9072"/>
        </w:tabs>
        <w:rPr>
          <w:b/>
          <w:sz w:val="32"/>
        </w:rPr>
      </w:pPr>
    </w:p>
    <w:p w14:paraId="28062221" w14:textId="77777777" w:rsidR="003A22BC" w:rsidRPr="00E06A42" w:rsidRDefault="003A22BC" w:rsidP="00F409B2">
      <w:pPr>
        <w:pStyle w:val="En-tte"/>
        <w:tabs>
          <w:tab w:val="clear" w:pos="4536"/>
          <w:tab w:val="clear" w:pos="9072"/>
          <w:tab w:val="right" w:pos="9000"/>
        </w:tabs>
        <w:rPr>
          <w:b/>
          <w:bCs/>
          <w:sz w:val="24"/>
          <w:szCs w:val="24"/>
        </w:rPr>
      </w:pPr>
    </w:p>
    <w:p w14:paraId="0E581E73" w14:textId="5CC64963" w:rsidR="004D0478" w:rsidRPr="00E06A42" w:rsidRDefault="004D0478" w:rsidP="00F409B2">
      <w:pPr>
        <w:pStyle w:val="En-tte"/>
        <w:tabs>
          <w:tab w:val="clear" w:pos="4536"/>
          <w:tab w:val="clear" w:pos="9072"/>
          <w:tab w:val="right" w:pos="9000"/>
        </w:tabs>
        <w:rPr>
          <w:b/>
          <w:snapToGrid w:val="0"/>
          <w:color w:val="000000"/>
          <w:sz w:val="24"/>
        </w:rPr>
      </w:pPr>
      <w:r w:rsidRPr="00E06A42">
        <w:rPr>
          <w:b/>
          <w:bCs/>
          <w:sz w:val="24"/>
          <w:szCs w:val="24"/>
        </w:rPr>
        <w:t>Press Release</w:t>
      </w:r>
      <w:r w:rsidR="000F1556" w:rsidRPr="00E06A42">
        <w:rPr>
          <w:b/>
          <w:bCs/>
          <w:sz w:val="24"/>
          <w:szCs w:val="24"/>
        </w:rPr>
        <w:tab/>
      </w:r>
      <w:r w:rsidR="004F7E21" w:rsidRPr="00E06A42">
        <w:rPr>
          <w:b/>
          <w:bCs/>
          <w:sz w:val="24"/>
          <w:szCs w:val="24"/>
        </w:rPr>
        <w:t xml:space="preserve">London, </w:t>
      </w:r>
      <w:r w:rsidR="003E02F0" w:rsidRPr="00E06A42">
        <w:rPr>
          <w:b/>
          <w:snapToGrid w:val="0"/>
          <w:color w:val="000000"/>
          <w:sz w:val="24"/>
        </w:rPr>
        <w:t xml:space="preserve">Nice, </w:t>
      </w:r>
      <w:r w:rsidR="00211CD6" w:rsidRPr="00E06A42">
        <w:rPr>
          <w:b/>
          <w:snapToGrid w:val="0"/>
          <w:color w:val="000000"/>
          <w:sz w:val="24"/>
        </w:rPr>
        <w:t xml:space="preserve">Paris, </w:t>
      </w:r>
      <w:r w:rsidR="001B19FA">
        <w:rPr>
          <w:b/>
          <w:snapToGrid w:val="0"/>
          <w:color w:val="000000"/>
          <w:sz w:val="24"/>
        </w:rPr>
        <w:t>2</w:t>
      </w:r>
      <w:r w:rsidR="00B67179">
        <w:rPr>
          <w:b/>
          <w:snapToGrid w:val="0"/>
          <w:color w:val="000000"/>
          <w:sz w:val="24"/>
        </w:rPr>
        <w:t>6</w:t>
      </w:r>
      <w:r w:rsidR="001B19FA">
        <w:rPr>
          <w:b/>
          <w:snapToGrid w:val="0"/>
          <w:color w:val="000000"/>
          <w:sz w:val="24"/>
        </w:rPr>
        <w:t xml:space="preserve"> </w:t>
      </w:r>
      <w:r w:rsidR="0038022E" w:rsidRPr="00E06A42">
        <w:rPr>
          <w:b/>
          <w:snapToGrid w:val="0"/>
          <w:color w:val="000000"/>
          <w:sz w:val="24"/>
        </w:rPr>
        <w:t>September</w:t>
      </w:r>
      <w:r w:rsidR="001A6DF6">
        <w:rPr>
          <w:b/>
          <w:snapToGrid w:val="0"/>
          <w:color w:val="000000"/>
          <w:sz w:val="24"/>
        </w:rPr>
        <w:t xml:space="preserve"> </w:t>
      </w:r>
      <w:r w:rsidR="004540A3" w:rsidRPr="00E06A42">
        <w:rPr>
          <w:b/>
          <w:snapToGrid w:val="0"/>
          <w:color w:val="000000"/>
          <w:sz w:val="24"/>
        </w:rPr>
        <w:t>20</w:t>
      </w:r>
      <w:r w:rsidR="00A76864" w:rsidRPr="00E06A42">
        <w:rPr>
          <w:b/>
          <w:snapToGrid w:val="0"/>
          <w:color w:val="000000"/>
          <w:sz w:val="24"/>
        </w:rPr>
        <w:t>1</w:t>
      </w:r>
      <w:r w:rsidR="00842C53" w:rsidRPr="00E06A42">
        <w:rPr>
          <w:b/>
          <w:snapToGrid w:val="0"/>
          <w:color w:val="000000"/>
          <w:sz w:val="24"/>
        </w:rPr>
        <w:t>9</w:t>
      </w:r>
    </w:p>
    <w:p w14:paraId="6594CD6C" w14:textId="77777777" w:rsidR="00AE5609" w:rsidRPr="00E06A42" w:rsidRDefault="00AE5609" w:rsidP="00AE5609">
      <w:pPr>
        <w:autoSpaceDE w:val="0"/>
        <w:autoSpaceDN w:val="0"/>
        <w:adjustRightInd w:val="0"/>
        <w:spacing w:line="260" w:lineRule="atLeast"/>
        <w:rPr>
          <w:color w:val="000000"/>
          <w:sz w:val="22"/>
          <w:szCs w:val="22"/>
        </w:rPr>
      </w:pPr>
    </w:p>
    <w:p w14:paraId="18998DCD" w14:textId="00CF0015" w:rsidR="00F40D60" w:rsidRPr="00E06A42" w:rsidRDefault="00814D95" w:rsidP="00F40D60">
      <w:pPr>
        <w:spacing w:before="240" w:after="240" w:line="380" w:lineRule="exact"/>
        <w:jc w:val="center"/>
        <w:rPr>
          <w:b/>
          <w:sz w:val="36"/>
          <w:szCs w:val="36"/>
        </w:rPr>
      </w:pPr>
      <w:r>
        <w:rPr>
          <w:b/>
          <w:sz w:val="34"/>
          <w:szCs w:val="34"/>
        </w:rPr>
        <w:t xml:space="preserve">The results of </w:t>
      </w:r>
      <w:r w:rsidR="00F40D60" w:rsidRPr="00E06A42">
        <w:rPr>
          <w:b/>
          <w:sz w:val="34"/>
          <w:szCs w:val="34"/>
        </w:rPr>
        <w:t>EDHEC-Risk</w:t>
      </w:r>
      <w:r w:rsidR="00F40D60" w:rsidRPr="00E06A42">
        <w:rPr>
          <w:b/>
          <w:bCs/>
          <w:color w:val="000000"/>
          <w:sz w:val="34"/>
          <w:szCs w:val="34"/>
        </w:rPr>
        <w:t xml:space="preserve">’s </w:t>
      </w:r>
      <w:r w:rsidR="0043762B" w:rsidRPr="00E06A42">
        <w:rPr>
          <w:b/>
          <w:bCs/>
          <w:color w:val="000000"/>
          <w:sz w:val="34"/>
          <w:szCs w:val="34"/>
        </w:rPr>
        <w:t>annual</w:t>
      </w:r>
      <w:r w:rsidR="00FA2DC8" w:rsidRPr="00E06A42">
        <w:rPr>
          <w:b/>
          <w:bCs/>
          <w:color w:val="000000"/>
          <w:sz w:val="34"/>
          <w:szCs w:val="34"/>
        </w:rPr>
        <w:t xml:space="preserve"> </w:t>
      </w:r>
      <w:r w:rsidR="00F40D60" w:rsidRPr="00E06A42">
        <w:rPr>
          <w:b/>
          <w:bCs/>
          <w:color w:val="000000"/>
          <w:sz w:val="34"/>
          <w:szCs w:val="34"/>
        </w:rPr>
        <w:t xml:space="preserve">European ETF </w:t>
      </w:r>
      <w:r w:rsidR="00063123" w:rsidRPr="00E06A42">
        <w:rPr>
          <w:b/>
          <w:bCs/>
          <w:color w:val="000000"/>
          <w:sz w:val="34"/>
          <w:szCs w:val="34"/>
        </w:rPr>
        <w:t xml:space="preserve">and Smart Beta </w:t>
      </w:r>
      <w:r w:rsidR="00F40D60" w:rsidRPr="00E06A42">
        <w:rPr>
          <w:b/>
          <w:bCs/>
          <w:color w:val="000000"/>
          <w:sz w:val="34"/>
          <w:szCs w:val="34"/>
        </w:rPr>
        <w:t xml:space="preserve">Survey </w:t>
      </w:r>
      <w:r w:rsidR="00B32671" w:rsidRPr="00E06A42">
        <w:rPr>
          <w:b/>
          <w:bCs/>
          <w:color w:val="000000"/>
          <w:sz w:val="34"/>
          <w:szCs w:val="34"/>
        </w:rPr>
        <w:t xml:space="preserve">show growing demand for </w:t>
      </w:r>
      <w:r w:rsidR="00741F38" w:rsidRPr="00E06A42">
        <w:rPr>
          <w:b/>
          <w:bCs/>
          <w:color w:val="000000"/>
          <w:sz w:val="34"/>
          <w:szCs w:val="34"/>
        </w:rPr>
        <w:t xml:space="preserve">SRI/Ethical ETFs and significant interest </w:t>
      </w:r>
      <w:r>
        <w:rPr>
          <w:b/>
          <w:bCs/>
          <w:color w:val="000000"/>
          <w:sz w:val="34"/>
          <w:szCs w:val="34"/>
        </w:rPr>
        <w:t xml:space="preserve">in </w:t>
      </w:r>
      <w:r w:rsidR="00741F38" w:rsidRPr="00E06A42">
        <w:rPr>
          <w:b/>
          <w:bCs/>
          <w:color w:val="000000"/>
          <w:sz w:val="34"/>
          <w:szCs w:val="34"/>
        </w:rPr>
        <w:t>fixed-income</w:t>
      </w:r>
      <w:r w:rsidR="00B32671" w:rsidRPr="00E06A42">
        <w:rPr>
          <w:b/>
          <w:bCs/>
          <w:color w:val="000000"/>
          <w:sz w:val="34"/>
          <w:szCs w:val="34"/>
        </w:rPr>
        <w:t xml:space="preserve"> Smart Beta </w:t>
      </w:r>
      <w:r w:rsidR="00741F38" w:rsidRPr="00E06A42">
        <w:rPr>
          <w:b/>
          <w:bCs/>
          <w:color w:val="000000"/>
          <w:sz w:val="34"/>
          <w:szCs w:val="34"/>
        </w:rPr>
        <w:t>solutions</w:t>
      </w:r>
      <w:r w:rsidR="0043762B" w:rsidRPr="00E06A42">
        <w:rPr>
          <w:b/>
          <w:bCs/>
          <w:color w:val="000000"/>
          <w:sz w:val="34"/>
          <w:szCs w:val="34"/>
        </w:rPr>
        <w:br/>
      </w:r>
    </w:p>
    <w:p w14:paraId="55E1C04C" w14:textId="03E57153" w:rsidR="00F40D60" w:rsidRPr="00E06A42" w:rsidRDefault="00F40D60" w:rsidP="00F40D60">
      <w:pPr>
        <w:spacing w:line="280" w:lineRule="atLeast"/>
        <w:jc w:val="both"/>
        <w:rPr>
          <w:sz w:val="22"/>
          <w:szCs w:val="22"/>
          <w:lang w:eastAsia="de-DE"/>
        </w:rPr>
      </w:pPr>
      <w:r w:rsidRPr="00E06A42">
        <w:rPr>
          <w:sz w:val="22"/>
          <w:szCs w:val="22"/>
          <w:lang w:eastAsia="de-DE"/>
        </w:rPr>
        <w:t xml:space="preserve">EDHEC-Risk Institute has announced the results </w:t>
      </w:r>
      <w:r w:rsidR="0071686D" w:rsidRPr="00E06A42">
        <w:rPr>
          <w:sz w:val="22"/>
          <w:szCs w:val="22"/>
          <w:lang w:eastAsia="de-DE"/>
        </w:rPr>
        <w:t>of</w:t>
      </w:r>
      <w:r w:rsidRPr="00E06A42">
        <w:rPr>
          <w:sz w:val="22"/>
          <w:szCs w:val="22"/>
          <w:lang w:eastAsia="de-DE"/>
        </w:rPr>
        <w:t xml:space="preserve"> </w:t>
      </w:r>
      <w:r w:rsidR="0097121A" w:rsidRPr="00E06A42">
        <w:rPr>
          <w:sz w:val="22"/>
          <w:szCs w:val="22"/>
          <w:lang w:eastAsia="de-DE"/>
        </w:rPr>
        <w:t>the</w:t>
      </w:r>
      <w:r w:rsidR="00763F23" w:rsidRPr="00E06A42">
        <w:rPr>
          <w:sz w:val="22"/>
          <w:szCs w:val="22"/>
          <w:lang w:eastAsia="de-DE"/>
        </w:rPr>
        <w:t xml:space="preserve"> 12</w:t>
      </w:r>
      <w:r w:rsidR="00763F23" w:rsidRPr="00E06A42">
        <w:rPr>
          <w:sz w:val="22"/>
          <w:szCs w:val="22"/>
          <w:vertAlign w:val="superscript"/>
          <w:lang w:eastAsia="de-DE"/>
        </w:rPr>
        <w:t>th</w:t>
      </w:r>
      <w:r w:rsidR="00763F23" w:rsidRPr="00E06A42">
        <w:rPr>
          <w:sz w:val="22"/>
          <w:szCs w:val="22"/>
          <w:lang w:eastAsia="de-DE"/>
        </w:rPr>
        <w:t xml:space="preserve"> </w:t>
      </w:r>
      <w:r w:rsidR="00AE47B0" w:rsidRPr="00E06A42">
        <w:rPr>
          <w:sz w:val="22"/>
          <w:szCs w:val="22"/>
          <w:lang w:eastAsia="de-DE"/>
        </w:rPr>
        <w:t>EDHEC European ETF</w:t>
      </w:r>
      <w:r w:rsidR="00BC39BA" w:rsidRPr="00E06A42">
        <w:rPr>
          <w:sz w:val="22"/>
          <w:szCs w:val="22"/>
          <w:lang w:eastAsia="de-DE"/>
        </w:rPr>
        <w:t xml:space="preserve">, </w:t>
      </w:r>
      <w:r w:rsidR="00AE47B0" w:rsidRPr="00E06A42">
        <w:rPr>
          <w:sz w:val="22"/>
          <w:szCs w:val="22"/>
          <w:lang w:eastAsia="de-DE"/>
        </w:rPr>
        <w:t>Smart Beta and Factor Investing Survey</w:t>
      </w:r>
      <w:r w:rsidR="006B63B1" w:rsidRPr="00E06A42">
        <w:rPr>
          <w:rStyle w:val="Appelnotedebasdep"/>
          <w:sz w:val="22"/>
          <w:szCs w:val="22"/>
          <w:lang w:eastAsia="de-DE"/>
        </w:rPr>
        <w:footnoteReference w:id="1"/>
      </w:r>
      <w:r w:rsidRPr="00E06A42">
        <w:rPr>
          <w:sz w:val="22"/>
          <w:szCs w:val="22"/>
          <w:lang w:eastAsia="de-DE"/>
        </w:rPr>
        <w:t xml:space="preserve">, conducted as part of </w:t>
      </w:r>
      <w:r w:rsidR="003061B7">
        <w:rPr>
          <w:sz w:val="22"/>
          <w:szCs w:val="22"/>
          <w:lang w:eastAsia="de-DE"/>
        </w:rPr>
        <w:t xml:space="preserve">its </w:t>
      </w:r>
      <w:proofErr w:type="spellStart"/>
      <w:r w:rsidRPr="00E06A42">
        <w:rPr>
          <w:sz w:val="22"/>
          <w:szCs w:val="22"/>
          <w:lang w:eastAsia="de-DE"/>
        </w:rPr>
        <w:t>Amundi</w:t>
      </w:r>
      <w:proofErr w:type="spellEnd"/>
      <w:r w:rsidRPr="00E06A42">
        <w:rPr>
          <w:sz w:val="22"/>
          <w:szCs w:val="22"/>
          <w:lang w:eastAsia="de-DE"/>
        </w:rPr>
        <w:t xml:space="preserve"> research chair on “</w:t>
      </w:r>
      <w:r w:rsidR="004D0737" w:rsidRPr="00E06A42">
        <w:rPr>
          <w:sz w:val="22"/>
          <w:szCs w:val="22"/>
          <w:lang w:eastAsia="de-DE"/>
        </w:rPr>
        <w:t>ETF, Indexing and Smart Beta Investment Strategies</w:t>
      </w:r>
      <w:r w:rsidRPr="00E06A42">
        <w:rPr>
          <w:sz w:val="22"/>
          <w:szCs w:val="22"/>
          <w:lang w:eastAsia="de-DE"/>
        </w:rPr>
        <w:t>”</w:t>
      </w:r>
      <w:r w:rsidR="00E97CC9" w:rsidRPr="00E06A42">
        <w:rPr>
          <w:sz w:val="22"/>
          <w:szCs w:val="22"/>
          <w:lang w:eastAsia="de-DE"/>
        </w:rPr>
        <w:t xml:space="preserve">. </w:t>
      </w:r>
      <w:r w:rsidR="00974A90" w:rsidRPr="00E06A42">
        <w:rPr>
          <w:sz w:val="22"/>
          <w:szCs w:val="22"/>
          <w:lang w:eastAsia="de-DE"/>
        </w:rPr>
        <w:t>This survey, conducted since</w:t>
      </w:r>
      <w:r w:rsidR="00E97CC9" w:rsidRPr="00E06A42">
        <w:rPr>
          <w:sz w:val="22"/>
          <w:szCs w:val="22"/>
          <w:lang w:eastAsia="de-DE"/>
        </w:rPr>
        <w:t xml:space="preserve"> 2006</w:t>
      </w:r>
      <w:r w:rsidR="0097121A" w:rsidRPr="00E06A42">
        <w:rPr>
          <w:sz w:val="22"/>
          <w:szCs w:val="22"/>
          <w:lang w:eastAsia="de-DE"/>
        </w:rPr>
        <w:t>,</w:t>
      </w:r>
      <w:r w:rsidR="00974A90" w:rsidRPr="00E06A42">
        <w:rPr>
          <w:sz w:val="22"/>
          <w:szCs w:val="22"/>
          <w:lang w:eastAsia="de-DE"/>
        </w:rPr>
        <w:t xml:space="preserve"> </w:t>
      </w:r>
      <w:r w:rsidR="003061B7" w:rsidRPr="00E06A42">
        <w:rPr>
          <w:sz w:val="22"/>
          <w:szCs w:val="22"/>
          <w:lang w:eastAsia="de-DE"/>
        </w:rPr>
        <w:t>aim</w:t>
      </w:r>
      <w:r w:rsidR="003061B7">
        <w:rPr>
          <w:sz w:val="22"/>
          <w:szCs w:val="22"/>
          <w:lang w:eastAsia="de-DE"/>
        </w:rPr>
        <w:t xml:space="preserve">s </w:t>
      </w:r>
      <w:r w:rsidR="0043762B" w:rsidRPr="00E06A42">
        <w:rPr>
          <w:sz w:val="22"/>
          <w:szCs w:val="22"/>
          <w:lang w:eastAsia="de-DE"/>
        </w:rPr>
        <w:t xml:space="preserve">to provide insights into European </w:t>
      </w:r>
      <w:r w:rsidR="00E70837" w:rsidRPr="00E06A42">
        <w:rPr>
          <w:sz w:val="22"/>
          <w:szCs w:val="22"/>
          <w:lang w:eastAsia="de-DE"/>
        </w:rPr>
        <w:t xml:space="preserve">investors’ </w:t>
      </w:r>
      <w:r w:rsidR="00172D2B" w:rsidRPr="00E06A42">
        <w:rPr>
          <w:sz w:val="22"/>
          <w:szCs w:val="22"/>
          <w:lang w:eastAsia="de-DE"/>
        </w:rPr>
        <w:t xml:space="preserve">perceptions, </w:t>
      </w:r>
      <w:r w:rsidR="0071686D" w:rsidRPr="00E06A42">
        <w:rPr>
          <w:sz w:val="22"/>
          <w:szCs w:val="22"/>
          <w:lang w:eastAsia="de-DE"/>
        </w:rPr>
        <w:t xml:space="preserve">practices </w:t>
      </w:r>
      <w:r w:rsidR="00172D2B" w:rsidRPr="00E06A42">
        <w:rPr>
          <w:sz w:val="22"/>
          <w:szCs w:val="22"/>
          <w:lang w:eastAsia="de-DE"/>
        </w:rPr>
        <w:t xml:space="preserve">and </w:t>
      </w:r>
      <w:proofErr w:type="gramStart"/>
      <w:r w:rsidR="00172D2B" w:rsidRPr="00E06A42">
        <w:rPr>
          <w:sz w:val="22"/>
          <w:szCs w:val="22"/>
          <w:lang w:eastAsia="de-DE"/>
        </w:rPr>
        <w:t>future plans</w:t>
      </w:r>
      <w:proofErr w:type="gramEnd"/>
      <w:r w:rsidR="00172D2B" w:rsidRPr="00E06A42">
        <w:rPr>
          <w:sz w:val="22"/>
          <w:szCs w:val="22"/>
          <w:lang w:eastAsia="de-DE"/>
        </w:rPr>
        <w:t xml:space="preserve"> </w:t>
      </w:r>
      <w:r w:rsidR="00E82113" w:rsidRPr="00E06A42">
        <w:rPr>
          <w:sz w:val="22"/>
          <w:szCs w:val="22"/>
          <w:lang w:eastAsia="de-DE"/>
        </w:rPr>
        <w:t xml:space="preserve">in the domain of </w:t>
      </w:r>
      <w:r w:rsidR="00D87D56" w:rsidRPr="00E06A42">
        <w:rPr>
          <w:sz w:val="22"/>
          <w:szCs w:val="22"/>
          <w:lang w:eastAsia="de-DE"/>
        </w:rPr>
        <w:t xml:space="preserve">ETFs and </w:t>
      </w:r>
      <w:r w:rsidR="00E70837" w:rsidRPr="00E06A42">
        <w:rPr>
          <w:sz w:val="22"/>
          <w:szCs w:val="22"/>
          <w:lang w:eastAsia="de-DE"/>
        </w:rPr>
        <w:t>S</w:t>
      </w:r>
      <w:r w:rsidR="00D87D56" w:rsidRPr="00E06A42">
        <w:rPr>
          <w:sz w:val="22"/>
          <w:szCs w:val="22"/>
          <w:lang w:eastAsia="de-DE"/>
        </w:rPr>
        <w:t xml:space="preserve">mart </w:t>
      </w:r>
      <w:r w:rsidR="00E70837" w:rsidRPr="00E06A42">
        <w:rPr>
          <w:sz w:val="22"/>
          <w:szCs w:val="22"/>
          <w:lang w:eastAsia="de-DE"/>
        </w:rPr>
        <w:t>B</w:t>
      </w:r>
      <w:r w:rsidR="00D87D56" w:rsidRPr="00E06A42">
        <w:rPr>
          <w:sz w:val="22"/>
          <w:szCs w:val="22"/>
          <w:lang w:eastAsia="de-DE"/>
        </w:rPr>
        <w:t>eta</w:t>
      </w:r>
      <w:r w:rsidR="00E70837" w:rsidRPr="00E06A42">
        <w:rPr>
          <w:sz w:val="22"/>
          <w:szCs w:val="22"/>
          <w:lang w:eastAsia="de-DE"/>
        </w:rPr>
        <w:t>.</w:t>
      </w:r>
      <w:r w:rsidR="00172D2B" w:rsidRPr="00E06A42">
        <w:rPr>
          <w:sz w:val="22"/>
          <w:szCs w:val="22"/>
          <w:lang w:eastAsia="de-DE"/>
        </w:rPr>
        <w:t xml:space="preserve"> </w:t>
      </w:r>
    </w:p>
    <w:p w14:paraId="509B00BF" w14:textId="77777777" w:rsidR="00F40D60" w:rsidRPr="00E06A42" w:rsidRDefault="00F40D60" w:rsidP="00F40D60">
      <w:pPr>
        <w:spacing w:line="240" w:lineRule="atLeast"/>
        <w:jc w:val="both"/>
        <w:rPr>
          <w:snapToGrid w:val="0"/>
          <w:sz w:val="22"/>
          <w:szCs w:val="22"/>
        </w:rPr>
      </w:pPr>
    </w:p>
    <w:p w14:paraId="657870C2" w14:textId="70C6B2E2" w:rsidR="00842C53" w:rsidRPr="00E06A42" w:rsidRDefault="003061B7" w:rsidP="00F40D60">
      <w:pPr>
        <w:spacing w:line="280" w:lineRule="atLeast"/>
        <w:jc w:val="both"/>
        <w:rPr>
          <w:snapToGrid w:val="0"/>
          <w:sz w:val="22"/>
          <w:szCs w:val="22"/>
        </w:rPr>
      </w:pPr>
      <w:proofErr w:type="gramStart"/>
      <w:r>
        <w:rPr>
          <w:snapToGrid w:val="0"/>
          <w:sz w:val="22"/>
          <w:szCs w:val="22"/>
        </w:rPr>
        <w:t>Here’s</w:t>
      </w:r>
      <w:proofErr w:type="gramEnd"/>
      <w:r>
        <w:rPr>
          <w:snapToGrid w:val="0"/>
          <w:sz w:val="22"/>
          <w:szCs w:val="22"/>
        </w:rPr>
        <w:t xml:space="preserve"> a</w:t>
      </w:r>
      <w:r w:rsidR="00B96D5D" w:rsidRPr="00E06A42">
        <w:rPr>
          <w:snapToGrid w:val="0"/>
          <w:sz w:val="22"/>
          <w:szCs w:val="22"/>
        </w:rPr>
        <w:t xml:space="preserve"> selection of key findings </w:t>
      </w:r>
      <w:r>
        <w:rPr>
          <w:snapToGrid w:val="0"/>
          <w:sz w:val="22"/>
          <w:szCs w:val="22"/>
        </w:rPr>
        <w:t xml:space="preserve">in response </w:t>
      </w:r>
      <w:r w:rsidR="00B96D5D" w:rsidRPr="00E06A42">
        <w:rPr>
          <w:snapToGrid w:val="0"/>
          <w:sz w:val="22"/>
          <w:szCs w:val="22"/>
        </w:rPr>
        <w:t xml:space="preserve">to three </w:t>
      </w:r>
      <w:r w:rsidR="008D64C6">
        <w:rPr>
          <w:snapToGrid w:val="0"/>
          <w:sz w:val="22"/>
          <w:szCs w:val="22"/>
        </w:rPr>
        <w:t xml:space="preserve">key </w:t>
      </w:r>
      <w:r w:rsidR="00B96D5D" w:rsidRPr="00E06A42">
        <w:rPr>
          <w:snapToGrid w:val="0"/>
          <w:sz w:val="22"/>
          <w:szCs w:val="22"/>
        </w:rPr>
        <w:t>questions:</w:t>
      </w:r>
    </w:p>
    <w:p w14:paraId="588AA65B" w14:textId="77777777" w:rsidR="00B96D5D" w:rsidRPr="00E06A42" w:rsidRDefault="00B96D5D" w:rsidP="00F40D60">
      <w:pPr>
        <w:spacing w:line="280" w:lineRule="atLeast"/>
        <w:jc w:val="both"/>
        <w:rPr>
          <w:snapToGrid w:val="0"/>
          <w:sz w:val="22"/>
          <w:szCs w:val="22"/>
        </w:rPr>
      </w:pPr>
    </w:p>
    <w:p w14:paraId="5A1CCFC4" w14:textId="77777777" w:rsidR="00B96D5D" w:rsidRPr="00E06A42" w:rsidRDefault="00BE6D00" w:rsidP="00F40D60">
      <w:pPr>
        <w:spacing w:line="280" w:lineRule="atLeast"/>
        <w:jc w:val="both"/>
        <w:rPr>
          <w:b/>
          <w:i/>
          <w:snapToGrid w:val="0"/>
          <w:sz w:val="22"/>
          <w:szCs w:val="22"/>
          <w:u w:val="single"/>
        </w:rPr>
      </w:pPr>
      <w:r w:rsidRPr="00E06A42">
        <w:rPr>
          <w:b/>
          <w:i/>
          <w:snapToGrid w:val="0"/>
          <w:sz w:val="22"/>
          <w:szCs w:val="22"/>
          <w:u w:val="single"/>
        </w:rPr>
        <w:t>How do i</w:t>
      </w:r>
      <w:r w:rsidR="00B96D5D" w:rsidRPr="00E06A42">
        <w:rPr>
          <w:b/>
          <w:i/>
          <w:snapToGrid w:val="0"/>
          <w:sz w:val="22"/>
          <w:szCs w:val="22"/>
          <w:u w:val="single"/>
        </w:rPr>
        <w:t xml:space="preserve">nvestors </w:t>
      </w:r>
      <w:r w:rsidRPr="00E06A42">
        <w:rPr>
          <w:b/>
          <w:i/>
          <w:snapToGrid w:val="0"/>
          <w:sz w:val="22"/>
          <w:szCs w:val="22"/>
          <w:u w:val="single"/>
        </w:rPr>
        <w:t>s</w:t>
      </w:r>
      <w:r w:rsidR="00B96D5D" w:rsidRPr="00E06A42">
        <w:rPr>
          <w:b/>
          <w:i/>
          <w:snapToGrid w:val="0"/>
          <w:sz w:val="22"/>
          <w:szCs w:val="22"/>
          <w:u w:val="single"/>
        </w:rPr>
        <w:t xml:space="preserve">elect and </w:t>
      </w:r>
      <w:r w:rsidRPr="00E06A42">
        <w:rPr>
          <w:b/>
          <w:i/>
          <w:snapToGrid w:val="0"/>
          <w:sz w:val="22"/>
          <w:szCs w:val="22"/>
          <w:u w:val="single"/>
        </w:rPr>
        <w:t>u</w:t>
      </w:r>
      <w:r w:rsidR="00B96D5D" w:rsidRPr="00E06A42">
        <w:rPr>
          <w:b/>
          <w:i/>
          <w:snapToGrid w:val="0"/>
          <w:sz w:val="22"/>
          <w:szCs w:val="22"/>
          <w:u w:val="single"/>
        </w:rPr>
        <w:t>se ETFs?</w:t>
      </w:r>
    </w:p>
    <w:p w14:paraId="1E5B82D3" w14:textId="77777777" w:rsidR="00DE2760" w:rsidRPr="00E06A42" w:rsidRDefault="00DE2760" w:rsidP="00F40D60">
      <w:pPr>
        <w:spacing w:line="280" w:lineRule="atLeast"/>
        <w:jc w:val="both"/>
        <w:rPr>
          <w:snapToGrid w:val="0"/>
          <w:sz w:val="22"/>
          <w:szCs w:val="22"/>
        </w:rPr>
      </w:pPr>
    </w:p>
    <w:p w14:paraId="37B68C5B" w14:textId="11C98EFA" w:rsidR="00A8005A" w:rsidRPr="00E06A42" w:rsidRDefault="006477D6" w:rsidP="00552C16">
      <w:pPr>
        <w:pStyle w:val="Paragraphedeliste"/>
        <w:numPr>
          <w:ilvl w:val="0"/>
          <w:numId w:val="21"/>
        </w:numPr>
        <w:spacing w:after="100" w:afterAutospacing="1" w:line="276" w:lineRule="auto"/>
        <w:rPr>
          <w:rFonts w:ascii="Times New Roman" w:hAnsi="Times New Roman" w:cs="Times New Roman"/>
        </w:rPr>
      </w:pPr>
      <w:r w:rsidRPr="00E06A42">
        <w:rPr>
          <w:rFonts w:ascii="Times New Roman" w:hAnsi="Times New Roman" w:cs="Times New Roman"/>
          <w:b/>
          <w:snapToGrid w:val="0"/>
          <w:color w:val="000000" w:themeColor="text1"/>
          <w:lang w:eastAsia="fr-FR"/>
        </w:rPr>
        <w:t>ETF usage is becoming increasingly mainstream.</w:t>
      </w:r>
      <w:r w:rsidRPr="00E06A42">
        <w:rPr>
          <w:rFonts w:ascii="Times New Roman" w:hAnsi="Times New Roman" w:cs="Times New Roman"/>
          <w:snapToGrid w:val="0"/>
          <w:color w:val="000000" w:themeColor="text1"/>
          <w:lang w:eastAsia="fr-FR"/>
        </w:rPr>
        <w:t xml:space="preserve"> </w:t>
      </w:r>
      <w:r w:rsidR="00A8005A" w:rsidRPr="00E06A42">
        <w:rPr>
          <w:rFonts w:ascii="Times New Roman" w:hAnsi="Times New Roman" w:cs="Times New Roman"/>
          <w:snapToGrid w:val="0"/>
          <w:color w:val="000000"/>
          <w:lang w:val="en-US"/>
        </w:rPr>
        <w:t xml:space="preserve">In 2006 </w:t>
      </w:r>
      <w:r w:rsidR="00A8005A" w:rsidRPr="00E06A42">
        <w:rPr>
          <w:rFonts w:ascii="Times New Roman" w:hAnsi="Times New Roman" w:cs="Times New Roman"/>
          <w:lang w:val="en-US" w:eastAsia="zh-CN"/>
        </w:rPr>
        <w:t xml:space="preserve">45% of respondents used ETFs to invest in equities, compared with 91% in 2019. As for governments and corporate bonds, the </w:t>
      </w:r>
      <w:r w:rsidR="008D64C6">
        <w:rPr>
          <w:rFonts w:ascii="Times New Roman" w:hAnsi="Times New Roman" w:cs="Times New Roman"/>
          <w:lang w:val="en-US" w:eastAsia="zh-CN"/>
        </w:rPr>
        <w:t xml:space="preserve">figures rose </w:t>
      </w:r>
      <w:r w:rsidR="00A8005A" w:rsidRPr="00E06A42">
        <w:rPr>
          <w:rFonts w:ascii="Times New Roman" w:hAnsi="Times New Roman" w:cs="Times New Roman"/>
          <w:lang w:val="en-US" w:eastAsia="zh-CN"/>
        </w:rPr>
        <w:t>from 13% and 6% in 2006 to 66% and 68% respectively in 2019.</w:t>
      </w:r>
    </w:p>
    <w:p w14:paraId="71333F45" w14:textId="3D9B2CC5" w:rsidR="006477D6" w:rsidRPr="00E06A42" w:rsidRDefault="006477D6" w:rsidP="00552C16">
      <w:pPr>
        <w:pStyle w:val="Paragraphedeliste"/>
        <w:numPr>
          <w:ilvl w:val="0"/>
          <w:numId w:val="21"/>
        </w:numPr>
        <w:spacing w:after="100" w:afterAutospacing="1" w:line="276" w:lineRule="auto"/>
        <w:rPr>
          <w:rFonts w:ascii="Times New Roman" w:hAnsi="Times New Roman" w:cs="Times New Roman"/>
        </w:rPr>
      </w:pPr>
      <w:r w:rsidRPr="00E06A42">
        <w:rPr>
          <w:rFonts w:ascii="Times New Roman" w:hAnsi="Times New Roman" w:cs="Times New Roman"/>
          <w:b/>
        </w:rPr>
        <w:t>ETF</w:t>
      </w:r>
      <w:r w:rsidR="00AE39CD">
        <w:rPr>
          <w:rFonts w:ascii="Times New Roman" w:hAnsi="Times New Roman" w:cs="Times New Roman"/>
          <w:b/>
        </w:rPr>
        <w:t xml:space="preserve"> usage</w:t>
      </w:r>
      <w:r w:rsidRPr="00E06A42">
        <w:rPr>
          <w:rFonts w:ascii="Times New Roman" w:hAnsi="Times New Roman" w:cs="Times New Roman"/>
          <w:b/>
        </w:rPr>
        <w:t xml:space="preserve"> is becoming </w:t>
      </w:r>
      <w:proofErr w:type="gramStart"/>
      <w:r w:rsidRPr="00E06A42">
        <w:rPr>
          <w:rFonts w:ascii="Times New Roman" w:hAnsi="Times New Roman" w:cs="Times New Roman"/>
          <w:b/>
        </w:rPr>
        <w:t>more tactical</w:t>
      </w:r>
      <w:proofErr w:type="gramEnd"/>
      <w:r w:rsidRPr="00E06A42">
        <w:rPr>
          <w:rFonts w:ascii="Times New Roman" w:hAnsi="Times New Roman" w:cs="Times New Roman"/>
          <w:b/>
        </w:rPr>
        <w:t xml:space="preserve">. </w:t>
      </w:r>
      <w:r w:rsidRPr="00E06A42">
        <w:rPr>
          <w:rFonts w:ascii="Times New Roman" w:hAnsi="Times New Roman" w:cs="Times New Roman"/>
        </w:rPr>
        <w:t>For the first time, the</w:t>
      </w:r>
      <w:r w:rsidRPr="00E06A42">
        <w:rPr>
          <w:rFonts w:ascii="Times New Roman" w:hAnsi="Times New Roman" w:cs="Times New Roman"/>
          <w:b/>
        </w:rPr>
        <w:t xml:space="preserve"> </w:t>
      </w:r>
      <w:r w:rsidR="00AE39CD" w:rsidRPr="00E06A42">
        <w:rPr>
          <w:rFonts w:ascii="Times New Roman" w:hAnsi="Times New Roman" w:cs="Times New Roman"/>
        </w:rPr>
        <w:t>us</w:t>
      </w:r>
      <w:r w:rsidR="00AE39CD">
        <w:rPr>
          <w:rFonts w:ascii="Times New Roman" w:hAnsi="Times New Roman" w:cs="Times New Roman"/>
        </w:rPr>
        <w:t xml:space="preserve">e </w:t>
      </w:r>
      <w:r w:rsidRPr="00E06A42">
        <w:rPr>
          <w:rFonts w:ascii="Times New Roman" w:hAnsi="Times New Roman" w:cs="Times New Roman"/>
        </w:rPr>
        <w:t xml:space="preserve">of ETFs for tactical allocation was higher (53%) than </w:t>
      </w:r>
      <w:r w:rsidR="00AE39CD">
        <w:rPr>
          <w:rFonts w:ascii="Times New Roman" w:hAnsi="Times New Roman" w:cs="Times New Roman"/>
        </w:rPr>
        <w:t xml:space="preserve">for </w:t>
      </w:r>
      <w:r w:rsidRPr="00E06A42">
        <w:rPr>
          <w:rFonts w:ascii="Times New Roman" w:hAnsi="Times New Roman" w:cs="Times New Roman"/>
        </w:rPr>
        <w:t xml:space="preserve">long-term buy and hold (51%). This more balanced usage suggests that </w:t>
      </w:r>
      <w:r w:rsidR="00AE39CD">
        <w:rPr>
          <w:rFonts w:ascii="Times New Roman" w:hAnsi="Times New Roman" w:cs="Times New Roman"/>
        </w:rPr>
        <w:t xml:space="preserve">the </w:t>
      </w:r>
      <w:r w:rsidR="006645B9" w:rsidRPr="00E06A42">
        <w:rPr>
          <w:rFonts w:ascii="Times New Roman" w:hAnsi="Times New Roman" w:cs="Times New Roman"/>
        </w:rPr>
        <w:t xml:space="preserve">ETF market is maturing and users are becoming more </w:t>
      </w:r>
      <w:r w:rsidR="00505ADA">
        <w:rPr>
          <w:rFonts w:ascii="Times New Roman" w:hAnsi="Times New Roman" w:cs="Times New Roman"/>
        </w:rPr>
        <w:t>pro</w:t>
      </w:r>
      <w:r w:rsidR="006645B9" w:rsidRPr="00E06A42">
        <w:rPr>
          <w:rFonts w:ascii="Times New Roman" w:hAnsi="Times New Roman" w:cs="Times New Roman"/>
        </w:rPr>
        <w:t>active.</w:t>
      </w:r>
    </w:p>
    <w:p w14:paraId="560F2D74" w14:textId="0850E0E7" w:rsidR="006477D6" w:rsidRPr="00E06A42" w:rsidRDefault="006477D6" w:rsidP="006477D6">
      <w:pPr>
        <w:pStyle w:val="Paragraphedeliste"/>
        <w:numPr>
          <w:ilvl w:val="0"/>
          <w:numId w:val="21"/>
        </w:numPr>
        <w:rPr>
          <w:rFonts w:ascii="Times New Roman" w:hAnsi="Times New Roman" w:cs="Times New Roman"/>
          <w:snapToGrid w:val="0"/>
          <w:color w:val="000000" w:themeColor="text1"/>
          <w:lang w:eastAsia="fr-FR"/>
        </w:rPr>
      </w:pPr>
      <w:r w:rsidRPr="00E06A42">
        <w:rPr>
          <w:rFonts w:ascii="Times New Roman" w:hAnsi="Times New Roman" w:cs="Times New Roman"/>
          <w:b/>
        </w:rPr>
        <w:t>Achieving broad market exposure</w:t>
      </w:r>
      <w:r w:rsidRPr="00E06A42">
        <w:rPr>
          <w:rFonts w:ascii="Times New Roman" w:hAnsi="Times New Roman" w:cs="Times New Roman"/>
        </w:rPr>
        <w:t xml:space="preserve"> </w:t>
      </w:r>
      <w:r w:rsidRPr="00E06A42">
        <w:rPr>
          <w:rFonts w:ascii="Times New Roman" w:hAnsi="Times New Roman" w:cs="Times New Roman"/>
          <w:b/>
        </w:rPr>
        <w:t>still top</w:t>
      </w:r>
      <w:r w:rsidR="00505ADA">
        <w:rPr>
          <w:rFonts w:ascii="Times New Roman" w:hAnsi="Times New Roman" w:cs="Times New Roman"/>
          <w:b/>
        </w:rPr>
        <w:t>s</w:t>
      </w:r>
      <w:r w:rsidRPr="00E06A42">
        <w:rPr>
          <w:rFonts w:ascii="Times New Roman" w:hAnsi="Times New Roman" w:cs="Times New Roman"/>
          <w:b/>
        </w:rPr>
        <w:t xml:space="preserve"> the list</w:t>
      </w:r>
      <w:r w:rsidRPr="00E06A42">
        <w:rPr>
          <w:rFonts w:ascii="Times New Roman" w:hAnsi="Times New Roman" w:cs="Times New Roman"/>
        </w:rPr>
        <w:t>, with 73% of respondents using ETFs frequently for this purpose.</w:t>
      </w:r>
      <w:r w:rsidR="006645B9" w:rsidRPr="00E06A42">
        <w:rPr>
          <w:rFonts w:ascii="Times New Roman" w:hAnsi="Times New Roman" w:cs="Times New Roman"/>
        </w:rPr>
        <w:t xml:space="preserve"> However, sub-segment us</w:t>
      </w:r>
      <w:r w:rsidR="00505ADA">
        <w:rPr>
          <w:rFonts w:ascii="Times New Roman" w:hAnsi="Times New Roman" w:cs="Times New Roman"/>
        </w:rPr>
        <w:t>ag</w:t>
      </w:r>
      <w:r w:rsidR="006645B9" w:rsidRPr="00E06A42">
        <w:rPr>
          <w:rFonts w:ascii="Times New Roman" w:hAnsi="Times New Roman" w:cs="Times New Roman"/>
        </w:rPr>
        <w:t xml:space="preserve">e has risen, </w:t>
      </w:r>
      <w:r w:rsidR="00574740">
        <w:rPr>
          <w:rFonts w:ascii="Times New Roman" w:hAnsi="Times New Roman" w:cs="Times New Roman"/>
        </w:rPr>
        <w:t xml:space="preserve">probably </w:t>
      </w:r>
      <w:r w:rsidR="006645B9" w:rsidRPr="00E06A42">
        <w:rPr>
          <w:rFonts w:ascii="Times New Roman" w:hAnsi="Times New Roman" w:cs="Times New Roman"/>
        </w:rPr>
        <w:t>reflecting the increasingly tactical role of ETFs in portfolio</w:t>
      </w:r>
      <w:r w:rsidR="0008253E">
        <w:rPr>
          <w:rFonts w:ascii="Times New Roman" w:hAnsi="Times New Roman" w:cs="Times New Roman"/>
        </w:rPr>
        <w:t>s</w:t>
      </w:r>
      <w:r w:rsidR="006645B9" w:rsidRPr="00E06A42">
        <w:rPr>
          <w:rFonts w:ascii="Times New Roman" w:hAnsi="Times New Roman" w:cs="Times New Roman"/>
        </w:rPr>
        <w:t>.</w:t>
      </w:r>
    </w:p>
    <w:p w14:paraId="1F4FB0DB" w14:textId="77777777" w:rsidR="002817FA" w:rsidRPr="00E06A42" w:rsidRDefault="00BE6D00" w:rsidP="00935AFC">
      <w:pPr>
        <w:pStyle w:val="Paragraphedeliste"/>
        <w:numPr>
          <w:ilvl w:val="0"/>
          <w:numId w:val="21"/>
        </w:numPr>
        <w:spacing w:after="200" w:line="280" w:lineRule="atLeast"/>
        <w:rPr>
          <w:rFonts w:ascii="Times New Roman" w:hAnsi="Times New Roman" w:cs="Times New Roman"/>
          <w:snapToGrid w:val="0"/>
          <w:color w:val="000000" w:themeColor="text1"/>
          <w:lang w:eastAsia="fr-FR"/>
        </w:rPr>
      </w:pPr>
      <w:r w:rsidRPr="00E06A42">
        <w:rPr>
          <w:rFonts w:ascii="Times New Roman" w:hAnsi="Times New Roman" w:cs="Times New Roman"/>
          <w:b/>
          <w:snapToGrid w:val="0"/>
          <w:color w:val="000000" w:themeColor="text1"/>
        </w:rPr>
        <w:t>Cost and quality of replication are the two main drivers for selecting ETF providers</w:t>
      </w:r>
      <w:r w:rsidR="00B344C5" w:rsidRPr="00E06A42">
        <w:rPr>
          <w:rFonts w:ascii="Times New Roman" w:hAnsi="Times New Roman" w:cs="Times New Roman"/>
          <w:b/>
          <w:snapToGrid w:val="0"/>
          <w:color w:val="000000" w:themeColor="text1"/>
        </w:rPr>
        <w:t>.</w:t>
      </w:r>
    </w:p>
    <w:p w14:paraId="4F4082BF" w14:textId="0CA545D6" w:rsidR="00BE6D00" w:rsidRPr="00E06A42" w:rsidRDefault="00BE6D00" w:rsidP="00BE6D00">
      <w:pPr>
        <w:pStyle w:val="Paragraphedeliste"/>
        <w:numPr>
          <w:ilvl w:val="0"/>
          <w:numId w:val="21"/>
        </w:numPr>
        <w:spacing w:line="280" w:lineRule="atLeast"/>
        <w:rPr>
          <w:rFonts w:ascii="Times New Roman" w:eastAsia="Times New Roman" w:hAnsi="Times New Roman" w:cs="Times New Roman"/>
          <w:color w:val="000000" w:themeColor="text1"/>
          <w:lang w:eastAsia="de-DE"/>
        </w:rPr>
      </w:pPr>
      <w:r w:rsidRPr="00E06A42">
        <w:rPr>
          <w:rFonts w:ascii="Times New Roman" w:eastAsia="Times New Roman" w:hAnsi="Times New Roman" w:cs="Times New Roman"/>
          <w:b/>
          <w:color w:val="000000" w:themeColor="text1"/>
          <w:lang w:eastAsia="de-DE"/>
        </w:rPr>
        <w:t>A</w:t>
      </w:r>
      <w:r w:rsidRPr="00E06A42" w:rsidDel="005B1F8D">
        <w:rPr>
          <w:rFonts w:ascii="Times New Roman" w:eastAsia="Times New Roman" w:hAnsi="Times New Roman" w:cs="Times New Roman"/>
          <w:b/>
          <w:color w:val="000000" w:themeColor="text1"/>
          <w:lang w:eastAsia="de-DE"/>
        </w:rPr>
        <w:t>bout two-third</w:t>
      </w:r>
      <w:r w:rsidRPr="00E06A42">
        <w:rPr>
          <w:rFonts w:ascii="Times New Roman" w:eastAsia="Times New Roman" w:hAnsi="Times New Roman" w:cs="Times New Roman"/>
          <w:b/>
          <w:color w:val="000000" w:themeColor="text1"/>
          <w:lang w:eastAsia="de-DE"/>
        </w:rPr>
        <w:t>s</w:t>
      </w:r>
      <w:r w:rsidRPr="00E06A42" w:rsidDel="005B1F8D">
        <w:rPr>
          <w:rFonts w:ascii="Times New Roman" w:eastAsia="Times New Roman" w:hAnsi="Times New Roman" w:cs="Times New Roman"/>
          <w:b/>
          <w:color w:val="000000" w:themeColor="text1"/>
          <w:lang w:eastAsia="de-DE"/>
        </w:rPr>
        <w:t xml:space="preserve"> of respondents (6</w:t>
      </w:r>
      <w:r w:rsidRPr="00E06A42">
        <w:rPr>
          <w:rFonts w:ascii="Times New Roman" w:eastAsia="Times New Roman" w:hAnsi="Times New Roman" w:cs="Times New Roman"/>
          <w:b/>
          <w:color w:val="000000" w:themeColor="text1"/>
          <w:lang w:eastAsia="de-DE"/>
        </w:rPr>
        <w:t>6</w:t>
      </w:r>
      <w:r w:rsidRPr="00E06A42" w:rsidDel="005B1F8D">
        <w:rPr>
          <w:rFonts w:ascii="Times New Roman" w:eastAsia="Times New Roman" w:hAnsi="Times New Roman" w:cs="Times New Roman"/>
          <w:b/>
          <w:color w:val="000000" w:themeColor="text1"/>
          <w:lang w:eastAsia="de-DE"/>
        </w:rPr>
        <w:t>%) use</w:t>
      </w:r>
      <w:r w:rsidRPr="00E06A42">
        <w:rPr>
          <w:rFonts w:ascii="Times New Roman" w:eastAsia="Times New Roman" w:hAnsi="Times New Roman" w:cs="Times New Roman"/>
          <w:b/>
          <w:color w:val="000000" w:themeColor="text1"/>
          <w:lang w:eastAsia="de-DE"/>
        </w:rPr>
        <w:t>d</w:t>
      </w:r>
      <w:r w:rsidRPr="00E06A42" w:rsidDel="005B1F8D">
        <w:rPr>
          <w:rFonts w:ascii="Times New Roman" w:eastAsia="Times New Roman" w:hAnsi="Times New Roman" w:cs="Times New Roman"/>
          <w:b/>
          <w:color w:val="000000" w:themeColor="text1"/>
          <w:lang w:eastAsia="de-DE"/>
        </w:rPr>
        <w:t xml:space="preserve"> ETFs to invest in </w:t>
      </w:r>
      <w:r w:rsidRPr="00E06A42">
        <w:rPr>
          <w:rFonts w:ascii="Times New Roman" w:eastAsia="Times New Roman" w:hAnsi="Times New Roman" w:cs="Times New Roman"/>
          <w:b/>
          <w:color w:val="000000" w:themeColor="text1"/>
          <w:lang w:eastAsia="de-DE"/>
        </w:rPr>
        <w:t>S</w:t>
      </w:r>
      <w:r w:rsidRPr="00E06A42" w:rsidDel="005B1F8D">
        <w:rPr>
          <w:rFonts w:ascii="Times New Roman" w:eastAsia="Times New Roman" w:hAnsi="Times New Roman" w:cs="Times New Roman"/>
          <w:b/>
          <w:color w:val="000000" w:themeColor="text1"/>
          <w:lang w:eastAsia="de-DE"/>
        </w:rPr>
        <w:t xml:space="preserve">mart </w:t>
      </w:r>
      <w:r w:rsidRPr="00E06A42">
        <w:rPr>
          <w:rFonts w:ascii="Times New Roman" w:eastAsia="Times New Roman" w:hAnsi="Times New Roman" w:cs="Times New Roman"/>
          <w:b/>
          <w:color w:val="000000" w:themeColor="text1"/>
          <w:lang w:eastAsia="de-DE"/>
        </w:rPr>
        <w:t>B</w:t>
      </w:r>
      <w:r w:rsidRPr="00E06A42" w:rsidDel="005B1F8D">
        <w:rPr>
          <w:rFonts w:ascii="Times New Roman" w:eastAsia="Times New Roman" w:hAnsi="Times New Roman" w:cs="Times New Roman"/>
          <w:b/>
          <w:color w:val="000000" w:themeColor="text1"/>
          <w:lang w:eastAsia="de-DE"/>
        </w:rPr>
        <w:t>eta in 201</w:t>
      </w:r>
      <w:r w:rsidRPr="00E06A42">
        <w:rPr>
          <w:rFonts w:ascii="Times New Roman" w:eastAsia="Times New Roman" w:hAnsi="Times New Roman" w:cs="Times New Roman"/>
          <w:b/>
          <w:color w:val="000000" w:themeColor="text1"/>
          <w:lang w:eastAsia="de-DE"/>
        </w:rPr>
        <w:t>9</w:t>
      </w:r>
      <w:r w:rsidRPr="00E06A42" w:rsidDel="005B1F8D">
        <w:rPr>
          <w:rFonts w:ascii="Times New Roman" w:eastAsia="Times New Roman" w:hAnsi="Times New Roman" w:cs="Times New Roman"/>
          <w:color w:val="000000" w:themeColor="text1"/>
          <w:lang w:eastAsia="de-DE"/>
        </w:rPr>
        <w:t xml:space="preserve">, a considerable increase </w:t>
      </w:r>
      <w:r w:rsidR="00033ED4">
        <w:rPr>
          <w:rFonts w:ascii="Times New Roman" w:eastAsia="Times New Roman" w:hAnsi="Times New Roman" w:cs="Times New Roman"/>
          <w:color w:val="000000" w:themeColor="text1"/>
          <w:lang w:eastAsia="de-DE"/>
        </w:rPr>
        <w:t xml:space="preserve">since </w:t>
      </w:r>
      <w:r w:rsidRPr="00E06A42" w:rsidDel="005B1F8D">
        <w:rPr>
          <w:rFonts w:ascii="Times New Roman" w:eastAsia="Times New Roman" w:hAnsi="Times New Roman" w:cs="Times New Roman"/>
          <w:color w:val="000000" w:themeColor="text1"/>
          <w:lang w:eastAsia="de-DE"/>
        </w:rPr>
        <w:t>2014</w:t>
      </w:r>
      <w:r w:rsidR="00033ED4">
        <w:rPr>
          <w:rFonts w:ascii="Times New Roman" w:eastAsia="Times New Roman" w:hAnsi="Times New Roman" w:cs="Times New Roman"/>
          <w:color w:val="000000" w:themeColor="text1"/>
          <w:lang w:eastAsia="de-DE"/>
        </w:rPr>
        <w:t xml:space="preserve"> (49%)</w:t>
      </w:r>
      <w:r w:rsidRPr="00E06A42">
        <w:rPr>
          <w:rFonts w:ascii="Times New Roman" w:eastAsia="Times New Roman" w:hAnsi="Times New Roman" w:cs="Times New Roman"/>
          <w:color w:val="000000" w:themeColor="text1"/>
          <w:lang w:eastAsia="de-DE"/>
        </w:rPr>
        <w:t>.</w:t>
      </w:r>
    </w:p>
    <w:p w14:paraId="78E4B446" w14:textId="77777777" w:rsidR="00E04BE3" w:rsidRPr="00E06A42" w:rsidRDefault="00E04BE3" w:rsidP="00E04BE3">
      <w:pPr>
        <w:pStyle w:val="Paragraphedeliste"/>
        <w:rPr>
          <w:rFonts w:ascii="Times New Roman" w:hAnsi="Times New Roman" w:cs="Times New Roman"/>
        </w:rPr>
      </w:pPr>
    </w:p>
    <w:p w14:paraId="78E4C7EE" w14:textId="77777777" w:rsidR="003837E6" w:rsidRPr="00E06A42" w:rsidRDefault="003837E6" w:rsidP="00110413">
      <w:pPr>
        <w:spacing w:line="280" w:lineRule="atLeast"/>
        <w:jc w:val="both"/>
        <w:rPr>
          <w:b/>
          <w:i/>
          <w:snapToGrid w:val="0"/>
          <w:sz w:val="22"/>
          <w:szCs w:val="22"/>
          <w:u w:val="single"/>
        </w:rPr>
      </w:pPr>
      <w:r w:rsidRPr="00E06A42">
        <w:rPr>
          <w:b/>
          <w:i/>
          <w:snapToGrid w:val="0"/>
          <w:sz w:val="22"/>
          <w:szCs w:val="22"/>
          <w:u w:val="single"/>
        </w:rPr>
        <w:t xml:space="preserve">What are the key objectives driving the use of </w:t>
      </w:r>
      <w:r w:rsidR="00B20163" w:rsidRPr="00E06A42">
        <w:rPr>
          <w:b/>
          <w:i/>
          <w:snapToGrid w:val="0"/>
          <w:sz w:val="22"/>
          <w:szCs w:val="22"/>
          <w:u w:val="single"/>
        </w:rPr>
        <w:t xml:space="preserve">Smart </w:t>
      </w:r>
      <w:r w:rsidRPr="00E06A42">
        <w:rPr>
          <w:b/>
          <w:i/>
          <w:snapToGrid w:val="0"/>
          <w:sz w:val="22"/>
          <w:szCs w:val="22"/>
          <w:u w:val="single"/>
        </w:rPr>
        <w:t>Beta and Factor Investing Strategies?</w:t>
      </w:r>
    </w:p>
    <w:p w14:paraId="7BD6E1E1" w14:textId="77777777" w:rsidR="007A3003" w:rsidRPr="00E06A42" w:rsidRDefault="007A3003" w:rsidP="007A3003">
      <w:pPr>
        <w:pStyle w:val="Paragraphedeliste"/>
        <w:rPr>
          <w:rFonts w:ascii="Times New Roman" w:eastAsia="Times New Roman" w:hAnsi="Times New Roman" w:cs="Times New Roman"/>
          <w:b/>
          <w:color w:val="000000" w:themeColor="text1"/>
          <w:u w:val="single"/>
          <w:lang w:eastAsia="de-DE"/>
        </w:rPr>
      </w:pPr>
    </w:p>
    <w:p w14:paraId="7DA46EA5" w14:textId="3225EBC4" w:rsidR="00AD3D36" w:rsidRPr="00E06A42" w:rsidRDefault="00AD3D36" w:rsidP="00AD3D36">
      <w:pPr>
        <w:pStyle w:val="Paragraphedeliste"/>
        <w:numPr>
          <w:ilvl w:val="0"/>
          <w:numId w:val="30"/>
        </w:numPr>
        <w:spacing w:after="100" w:afterAutospacing="1" w:line="276" w:lineRule="auto"/>
        <w:rPr>
          <w:rFonts w:ascii="Times New Roman" w:hAnsi="Times New Roman" w:cs="Times New Roman"/>
        </w:rPr>
      </w:pPr>
      <w:r w:rsidRPr="00E06A42">
        <w:rPr>
          <w:rFonts w:ascii="Times New Roman" w:hAnsi="Times New Roman" w:cs="Times New Roman"/>
          <w:b/>
        </w:rPr>
        <w:t xml:space="preserve">Improving performance is the main motivation for using Smart Beta and Factor Investing strategies. </w:t>
      </w:r>
      <w:r w:rsidRPr="00E06A42">
        <w:rPr>
          <w:rFonts w:ascii="Times New Roman" w:hAnsi="Times New Roman" w:cs="Times New Roman"/>
        </w:rPr>
        <w:t xml:space="preserve">Managing risk </w:t>
      </w:r>
      <w:proofErr w:type="gramStart"/>
      <w:r w:rsidRPr="00E06A42">
        <w:rPr>
          <w:rFonts w:ascii="Times New Roman" w:hAnsi="Times New Roman" w:cs="Times New Roman"/>
        </w:rPr>
        <w:t>is also considered</w:t>
      </w:r>
      <w:proofErr w:type="gramEnd"/>
      <w:r w:rsidRPr="00E06A42">
        <w:rPr>
          <w:rFonts w:ascii="Times New Roman" w:hAnsi="Times New Roman" w:cs="Times New Roman"/>
        </w:rPr>
        <w:t xml:space="preserve"> an important </w:t>
      </w:r>
      <w:r w:rsidR="00955EC0">
        <w:rPr>
          <w:rFonts w:ascii="Times New Roman" w:hAnsi="Times New Roman" w:cs="Times New Roman"/>
        </w:rPr>
        <w:t>criterion</w:t>
      </w:r>
      <w:r w:rsidRPr="00E06A42">
        <w:rPr>
          <w:rFonts w:ascii="Times New Roman" w:hAnsi="Times New Roman" w:cs="Times New Roman"/>
        </w:rPr>
        <w:t>.</w:t>
      </w:r>
    </w:p>
    <w:p w14:paraId="28359E2A" w14:textId="255EF863" w:rsidR="008B2356" w:rsidRPr="00E06A42" w:rsidRDefault="003837E6" w:rsidP="00E17083">
      <w:pPr>
        <w:pStyle w:val="Paragraphedeliste"/>
        <w:numPr>
          <w:ilvl w:val="0"/>
          <w:numId w:val="30"/>
        </w:numPr>
        <w:spacing w:after="0"/>
        <w:rPr>
          <w:rFonts w:ascii="Times New Roman" w:eastAsia="Arial Unicode MS" w:hAnsi="Times New Roman" w:cs="Times New Roman"/>
          <w:color w:val="000000"/>
          <w:u w:color="000000"/>
          <w:lang w:val="en-US"/>
        </w:rPr>
      </w:pPr>
      <w:proofErr w:type="gramStart"/>
      <w:r w:rsidRPr="00E06A42">
        <w:rPr>
          <w:rFonts w:ascii="Times New Roman" w:hAnsi="Times New Roman" w:cs="Times New Roman"/>
        </w:rPr>
        <w:t>68%</w:t>
      </w:r>
      <w:proofErr w:type="gramEnd"/>
      <w:r w:rsidRPr="00E06A42">
        <w:rPr>
          <w:rFonts w:ascii="Times New Roman" w:hAnsi="Times New Roman" w:cs="Times New Roman"/>
        </w:rPr>
        <w:t xml:space="preserve"> of respondents </w:t>
      </w:r>
      <w:r w:rsidR="00955EC0">
        <w:rPr>
          <w:rFonts w:ascii="Times New Roman" w:hAnsi="Times New Roman" w:cs="Times New Roman"/>
        </w:rPr>
        <w:t>feel</w:t>
      </w:r>
      <w:r w:rsidR="00955EC0" w:rsidRPr="00E06A42">
        <w:rPr>
          <w:rFonts w:ascii="Times New Roman" w:hAnsi="Times New Roman" w:cs="Times New Roman"/>
        </w:rPr>
        <w:t xml:space="preserve"> </w:t>
      </w:r>
      <w:r w:rsidRPr="00E06A42">
        <w:rPr>
          <w:rFonts w:ascii="Times New Roman" w:hAnsi="Times New Roman" w:cs="Times New Roman"/>
        </w:rPr>
        <w:t>that smart beta and factor investing bond solutions are especially useful in performance</w:t>
      </w:r>
      <w:r w:rsidR="00955EC0">
        <w:rPr>
          <w:rFonts w:ascii="Times New Roman" w:hAnsi="Times New Roman" w:cs="Times New Roman"/>
        </w:rPr>
        <w:t>-</w:t>
      </w:r>
      <w:r w:rsidRPr="00E06A42">
        <w:rPr>
          <w:rFonts w:ascii="Times New Roman" w:hAnsi="Times New Roman" w:cs="Times New Roman"/>
        </w:rPr>
        <w:t>seeking portfolio</w:t>
      </w:r>
      <w:r w:rsidR="00955EC0">
        <w:rPr>
          <w:rFonts w:ascii="Times New Roman" w:hAnsi="Times New Roman" w:cs="Times New Roman"/>
        </w:rPr>
        <w:t>s</w:t>
      </w:r>
      <w:r w:rsidRPr="00E06A42">
        <w:rPr>
          <w:rFonts w:ascii="Times New Roman" w:hAnsi="Times New Roman" w:cs="Times New Roman"/>
        </w:rPr>
        <w:t xml:space="preserve">, </w:t>
      </w:r>
      <w:r w:rsidR="00955EC0">
        <w:rPr>
          <w:rFonts w:ascii="Times New Roman" w:hAnsi="Times New Roman" w:cs="Times New Roman"/>
        </w:rPr>
        <w:t xml:space="preserve">primarily to </w:t>
      </w:r>
      <w:r w:rsidR="00955EC0" w:rsidRPr="00E06A42">
        <w:rPr>
          <w:rFonts w:ascii="Times New Roman" w:hAnsi="Times New Roman" w:cs="Times New Roman"/>
        </w:rPr>
        <w:t>harvest</w:t>
      </w:r>
      <w:r w:rsidR="00955EC0">
        <w:rPr>
          <w:rFonts w:ascii="Times New Roman" w:hAnsi="Times New Roman" w:cs="Times New Roman"/>
        </w:rPr>
        <w:t xml:space="preserve"> </w:t>
      </w:r>
      <w:r w:rsidRPr="00E06A42">
        <w:rPr>
          <w:rFonts w:ascii="Times New Roman" w:hAnsi="Times New Roman" w:cs="Times New Roman"/>
        </w:rPr>
        <w:t xml:space="preserve">risk </w:t>
      </w:r>
      <w:proofErr w:type="spellStart"/>
      <w:r w:rsidRPr="00E06A42">
        <w:rPr>
          <w:rFonts w:ascii="Times New Roman" w:hAnsi="Times New Roman" w:cs="Times New Roman"/>
        </w:rPr>
        <w:t>premia</w:t>
      </w:r>
      <w:proofErr w:type="spellEnd"/>
      <w:r w:rsidR="003A4D99" w:rsidRPr="00E06A42">
        <w:rPr>
          <w:rFonts w:ascii="Times New Roman" w:hAnsi="Times New Roman" w:cs="Times New Roman"/>
        </w:rPr>
        <w:t>.</w:t>
      </w:r>
    </w:p>
    <w:p w14:paraId="2C016C3A" w14:textId="476BB752" w:rsidR="008B2356" w:rsidRPr="00E06A42" w:rsidRDefault="008B2356" w:rsidP="008B2356">
      <w:pPr>
        <w:pStyle w:val="Paragraphedeliste"/>
        <w:numPr>
          <w:ilvl w:val="0"/>
          <w:numId w:val="30"/>
        </w:numPr>
        <w:rPr>
          <w:rFonts w:ascii="Times New Roman" w:eastAsia="Arial Unicode MS" w:hAnsi="Times New Roman" w:cs="Times New Roman"/>
          <w:b/>
          <w:color w:val="000000"/>
          <w:u w:color="000000"/>
          <w:lang w:val="en-US"/>
        </w:rPr>
      </w:pPr>
      <w:r w:rsidRPr="00E06A42">
        <w:rPr>
          <w:rFonts w:ascii="Times New Roman" w:eastAsia="Arial Unicode MS" w:hAnsi="Times New Roman" w:cs="Times New Roman"/>
          <w:b/>
          <w:color w:val="000000"/>
          <w:u w:color="000000"/>
          <w:lang w:val="en-US"/>
        </w:rPr>
        <w:t xml:space="preserve">About </w:t>
      </w:r>
      <w:r w:rsidR="00D7129F">
        <w:rPr>
          <w:rFonts w:ascii="Times New Roman" w:eastAsia="Arial Unicode MS" w:hAnsi="Times New Roman" w:cs="Times New Roman"/>
          <w:b/>
          <w:color w:val="000000"/>
          <w:u w:color="000000"/>
          <w:lang w:val="en-US"/>
        </w:rPr>
        <w:t xml:space="preserve">three-fifths </w:t>
      </w:r>
      <w:r w:rsidRPr="00E06A42">
        <w:rPr>
          <w:rFonts w:ascii="Times New Roman" w:eastAsia="Arial Unicode MS" w:hAnsi="Times New Roman" w:cs="Times New Roman"/>
          <w:b/>
          <w:color w:val="000000"/>
          <w:u w:color="000000"/>
          <w:lang w:val="en-US"/>
        </w:rPr>
        <w:t xml:space="preserve">of respondents </w:t>
      </w:r>
      <w:r w:rsidR="004D214E">
        <w:rPr>
          <w:rFonts w:ascii="Times New Roman" w:eastAsia="Arial Unicode MS" w:hAnsi="Times New Roman" w:cs="Times New Roman"/>
          <w:b/>
          <w:color w:val="000000"/>
          <w:u w:color="000000"/>
          <w:lang w:val="en-US"/>
        </w:rPr>
        <w:t>believe</w:t>
      </w:r>
      <w:r w:rsidR="004D214E" w:rsidRPr="00E06A42">
        <w:rPr>
          <w:rFonts w:ascii="Times New Roman" w:eastAsia="Arial Unicode MS" w:hAnsi="Times New Roman" w:cs="Times New Roman"/>
          <w:b/>
          <w:color w:val="000000"/>
          <w:u w:color="000000"/>
          <w:lang w:val="en-US"/>
        </w:rPr>
        <w:t xml:space="preserve"> </w:t>
      </w:r>
      <w:r w:rsidRPr="00E06A42">
        <w:rPr>
          <w:rFonts w:ascii="Times New Roman" w:eastAsia="Arial Unicode MS" w:hAnsi="Times New Roman" w:cs="Times New Roman"/>
          <w:b/>
          <w:color w:val="000000"/>
          <w:u w:color="000000"/>
          <w:lang w:val="en-US"/>
        </w:rPr>
        <w:t>that the three typical factors of the credit risk market, namely carry/level of the yield curve, credit and slope of the yield curve, are the most relevant in fixed-income markets (63%, 60% and 58% respectively)</w:t>
      </w:r>
      <w:r w:rsidR="009E730A">
        <w:rPr>
          <w:rFonts w:ascii="Times New Roman" w:eastAsia="Arial Unicode MS" w:hAnsi="Times New Roman" w:cs="Times New Roman"/>
          <w:b/>
          <w:color w:val="000000"/>
          <w:u w:color="000000"/>
          <w:lang w:val="en-US"/>
        </w:rPr>
        <w:t>.</w:t>
      </w:r>
    </w:p>
    <w:p w14:paraId="4DA1C509" w14:textId="77777777" w:rsidR="003837E6" w:rsidRPr="00E06A42" w:rsidRDefault="003837E6" w:rsidP="007A3003">
      <w:pPr>
        <w:pStyle w:val="Paragraphedeliste"/>
        <w:rPr>
          <w:rFonts w:ascii="Times New Roman" w:eastAsia="Times New Roman" w:hAnsi="Times New Roman" w:cs="Times New Roman"/>
          <w:b/>
          <w:color w:val="000000" w:themeColor="text1"/>
          <w:u w:val="single"/>
          <w:lang w:eastAsia="de-DE"/>
        </w:rPr>
      </w:pPr>
    </w:p>
    <w:p w14:paraId="5210CD8C" w14:textId="2479F786" w:rsidR="00BE6D00" w:rsidRPr="00E06A42" w:rsidRDefault="00BE6D00" w:rsidP="00D25EBB">
      <w:pPr>
        <w:rPr>
          <w:b/>
          <w:i/>
          <w:snapToGrid w:val="0"/>
          <w:u w:val="single"/>
        </w:rPr>
      </w:pPr>
      <w:r w:rsidRPr="00E06A42">
        <w:rPr>
          <w:b/>
          <w:i/>
          <w:snapToGrid w:val="0"/>
          <w:sz w:val="22"/>
          <w:szCs w:val="22"/>
          <w:u w:val="single"/>
        </w:rPr>
        <w:t xml:space="preserve">What are the future developments </w:t>
      </w:r>
      <w:r w:rsidR="009E730A">
        <w:rPr>
          <w:b/>
          <w:i/>
          <w:snapToGrid w:val="0"/>
          <w:sz w:val="22"/>
          <w:szCs w:val="22"/>
          <w:u w:val="single"/>
        </w:rPr>
        <w:t>i</w:t>
      </w:r>
      <w:r w:rsidRPr="00E06A42">
        <w:rPr>
          <w:b/>
          <w:i/>
          <w:snapToGrid w:val="0"/>
          <w:sz w:val="22"/>
          <w:szCs w:val="22"/>
          <w:u w:val="single"/>
        </w:rPr>
        <w:t>n ETFs and Smart Beta Products?</w:t>
      </w:r>
    </w:p>
    <w:p w14:paraId="69AA678C" w14:textId="77777777" w:rsidR="00BE6D00" w:rsidRPr="00E06A42" w:rsidRDefault="00BE6D00" w:rsidP="007A3003">
      <w:pPr>
        <w:pStyle w:val="Paragraphedeliste"/>
        <w:rPr>
          <w:rFonts w:ascii="Times New Roman" w:eastAsia="Times New Roman" w:hAnsi="Times New Roman" w:cs="Times New Roman"/>
          <w:b/>
          <w:color w:val="000000" w:themeColor="text1"/>
          <w:u w:val="single"/>
          <w:lang w:eastAsia="de-DE"/>
        </w:rPr>
      </w:pPr>
    </w:p>
    <w:p w14:paraId="49535115" w14:textId="0A6497F7" w:rsidR="007D1AF6" w:rsidRPr="00E06A42" w:rsidRDefault="007D1AF6" w:rsidP="00763F23">
      <w:pPr>
        <w:pStyle w:val="Paragraphedeliste"/>
        <w:numPr>
          <w:ilvl w:val="0"/>
          <w:numId w:val="21"/>
        </w:numPr>
        <w:tabs>
          <w:tab w:val="clear" w:pos="709"/>
        </w:tabs>
        <w:spacing w:after="200" w:line="276" w:lineRule="auto"/>
        <w:rPr>
          <w:rFonts w:ascii="Times New Roman" w:eastAsia="Times New Roman" w:hAnsi="Times New Roman" w:cs="Times New Roman"/>
          <w:lang w:eastAsia="de-DE"/>
        </w:rPr>
      </w:pPr>
      <w:proofErr w:type="gramStart"/>
      <w:r w:rsidRPr="00E06A42">
        <w:rPr>
          <w:rFonts w:ascii="Times New Roman" w:hAnsi="Times New Roman" w:cs="Times New Roman"/>
          <w:b/>
          <w:bCs/>
          <w:lang w:eastAsia="zh-CN"/>
        </w:rPr>
        <w:t>31%</w:t>
      </w:r>
      <w:proofErr w:type="gramEnd"/>
      <w:r w:rsidRPr="00E06A42">
        <w:rPr>
          <w:rFonts w:ascii="Times New Roman" w:hAnsi="Times New Roman" w:cs="Times New Roman"/>
          <w:b/>
          <w:bCs/>
          <w:lang w:eastAsia="zh-CN"/>
        </w:rPr>
        <w:t xml:space="preserve"> of respondents want to see more SRI</w:t>
      </w:r>
      <w:r w:rsidR="009E730A">
        <w:rPr>
          <w:rFonts w:ascii="Times New Roman" w:hAnsi="Times New Roman" w:cs="Times New Roman"/>
          <w:b/>
          <w:bCs/>
          <w:lang w:eastAsia="zh-CN"/>
        </w:rPr>
        <w:t>-</w:t>
      </w:r>
      <w:r w:rsidRPr="00E06A42">
        <w:rPr>
          <w:rFonts w:ascii="Times New Roman" w:hAnsi="Times New Roman" w:cs="Times New Roman"/>
          <w:b/>
          <w:bCs/>
          <w:lang w:eastAsia="zh-CN"/>
        </w:rPr>
        <w:t>based ETFs</w:t>
      </w:r>
      <w:r w:rsidR="0091065F" w:rsidRPr="002E300A">
        <w:rPr>
          <w:rFonts w:ascii="Times New Roman" w:hAnsi="Times New Roman" w:cs="Times New Roman"/>
          <w:bCs/>
          <w:lang w:eastAsia="zh-CN"/>
        </w:rPr>
        <w:t>, while similar</w:t>
      </w:r>
      <w:r w:rsidR="0091065F">
        <w:rPr>
          <w:rFonts w:ascii="Times New Roman" w:hAnsi="Times New Roman" w:cs="Times New Roman"/>
          <w:bCs/>
          <w:lang w:eastAsia="zh-CN"/>
        </w:rPr>
        <w:t xml:space="preserve"> proportions are interested in </w:t>
      </w:r>
      <w:r w:rsidRPr="00E06A42">
        <w:rPr>
          <w:rFonts w:ascii="Times New Roman" w:hAnsi="Times New Roman" w:cs="Times New Roman"/>
          <w:bCs/>
          <w:lang w:eastAsia="zh-CN"/>
        </w:rPr>
        <w:t xml:space="preserve">ETFs related to multi-factor and smart beta indices </w:t>
      </w:r>
      <w:r w:rsidR="0091065F">
        <w:rPr>
          <w:rFonts w:ascii="Times New Roman" w:hAnsi="Times New Roman" w:cs="Times New Roman"/>
          <w:bCs/>
          <w:lang w:eastAsia="zh-CN"/>
        </w:rPr>
        <w:t>(</w:t>
      </w:r>
      <w:r w:rsidRPr="00E06A42">
        <w:rPr>
          <w:rFonts w:ascii="Times New Roman" w:hAnsi="Times New Roman" w:cs="Times New Roman"/>
          <w:bCs/>
          <w:lang w:eastAsia="zh-CN"/>
        </w:rPr>
        <w:t>30% and 28%</w:t>
      </w:r>
      <w:r w:rsidR="0091065F">
        <w:rPr>
          <w:rFonts w:ascii="Times New Roman" w:hAnsi="Times New Roman" w:cs="Times New Roman"/>
          <w:bCs/>
          <w:lang w:eastAsia="zh-CN"/>
        </w:rPr>
        <w:t xml:space="preserve"> respectively).</w:t>
      </w:r>
    </w:p>
    <w:p w14:paraId="1C5A69B3" w14:textId="502683AB" w:rsidR="003837E6" w:rsidRPr="00E06A42" w:rsidRDefault="003837E6" w:rsidP="003837E6">
      <w:pPr>
        <w:pStyle w:val="Paragraphedeliste"/>
        <w:numPr>
          <w:ilvl w:val="0"/>
          <w:numId w:val="21"/>
        </w:numPr>
        <w:spacing w:after="100" w:afterAutospacing="1" w:line="276" w:lineRule="auto"/>
        <w:rPr>
          <w:rFonts w:ascii="Times New Roman" w:eastAsia="Arial Unicode MS" w:hAnsi="Times New Roman" w:cs="Times New Roman"/>
          <w:color w:val="000000"/>
          <w:u w:color="000000"/>
        </w:rPr>
      </w:pPr>
      <w:r w:rsidRPr="00E06A42">
        <w:rPr>
          <w:rFonts w:ascii="Times New Roman" w:eastAsia="Arial Unicode MS" w:hAnsi="Times New Roman" w:cs="Times New Roman"/>
          <w:b/>
          <w:color w:val="000000"/>
          <w:u w:color="000000"/>
        </w:rPr>
        <w:t>The cumulative percentage of those that already invest or are considering investing in smart beta and factor investing in the near future is still higher in 2019 (79%)</w:t>
      </w:r>
      <w:r w:rsidRPr="00E06A42">
        <w:rPr>
          <w:rFonts w:ascii="Times New Roman" w:eastAsia="Arial Unicode MS" w:hAnsi="Times New Roman" w:cs="Times New Roman"/>
          <w:color w:val="000000"/>
          <w:u w:color="000000"/>
        </w:rPr>
        <w:t xml:space="preserve"> than in 2018 (74%), which </w:t>
      </w:r>
      <w:r w:rsidR="00D13696">
        <w:rPr>
          <w:rFonts w:ascii="Times New Roman" w:eastAsia="Arial Unicode MS" w:hAnsi="Times New Roman" w:cs="Times New Roman"/>
          <w:color w:val="000000"/>
          <w:u w:color="000000"/>
        </w:rPr>
        <w:t xml:space="preserve">leaves </w:t>
      </w:r>
      <w:r w:rsidRPr="00E06A42">
        <w:rPr>
          <w:rFonts w:ascii="Times New Roman" w:eastAsia="Arial Unicode MS" w:hAnsi="Times New Roman" w:cs="Times New Roman"/>
          <w:color w:val="000000"/>
          <w:u w:color="000000"/>
        </w:rPr>
        <w:t>room for further development of this investment in the near future.</w:t>
      </w:r>
    </w:p>
    <w:p w14:paraId="5395AE0D" w14:textId="1CF48B42" w:rsidR="003837E6" w:rsidRPr="00E06A42" w:rsidRDefault="003837E6" w:rsidP="007A3003">
      <w:pPr>
        <w:pStyle w:val="Paragraphedeliste"/>
        <w:numPr>
          <w:ilvl w:val="0"/>
          <w:numId w:val="21"/>
        </w:numPr>
        <w:tabs>
          <w:tab w:val="clear" w:pos="709"/>
        </w:tabs>
        <w:spacing w:after="200" w:line="276" w:lineRule="auto"/>
        <w:rPr>
          <w:rFonts w:ascii="Times New Roman" w:eastAsia="Times New Roman" w:hAnsi="Times New Roman" w:cs="Times New Roman"/>
          <w:lang w:eastAsia="de-DE"/>
        </w:rPr>
      </w:pPr>
      <w:r w:rsidRPr="00E06A42">
        <w:rPr>
          <w:rFonts w:ascii="Times New Roman" w:eastAsia="Times New Roman" w:hAnsi="Times New Roman" w:cs="Times New Roman"/>
          <w:color w:val="000000" w:themeColor="text1"/>
          <w:lang w:eastAsia="de-DE"/>
        </w:rPr>
        <w:t xml:space="preserve">When asked about </w:t>
      </w:r>
      <w:r w:rsidR="00D00B6C">
        <w:rPr>
          <w:rFonts w:ascii="Times New Roman" w:eastAsia="Times New Roman" w:hAnsi="Times New Roman" w:cs="Times New Roman"/>
          <w:color w:val="000000" w:themeColor="text1"/>
          <w:lang w:eastAsia="de-DE"/>
        </w:rPr>
        <w:t xml:space="preserve">the </w:t>
      </w:r>
      <w:r w:rsidRPr="00E06A42">
        <w:rPr>
          <w:rFonts w:ascii="Times New Roman" w:eastAsia="Times New Roman" w:hAnsi="Times New Roman" w:cs="Times New Roman"/>
          <w:color w:val="000000" w:themeColor="text1"/>
          <w:lang w:eastAsia="de-DE"/>
        </w:rPr>
        <w:t xml:space="preserve">smart beta solutions they think require further development </w:t>
      </w:r>
      <w:r w:rsidR="00D00B6C">
        <w:rPr>
          <w:rFonts w:ascii="Times New Roman" w:eastAsia="Times New Roman" w:hAnsi="Times New Roman" w:cs="Times New Roman"/>
          <w:color w:val="000000" w:themeColor="text1"/>
          <w:lang w:eastAsia="de-DE"/>
        </w:rPr>
        <w:t xml:space="preserve">by </w:t>
      </w:r>
      <w:r w:rsidRPr="00E06A42">
        <w:rPr>
          <w:rFonts w:ascii="Times New Roman" w:eastAsia="Times New Roman" w:hAnsi="Times New Roman" w:cs="Times New Roman"/>
          <w:color w:val="000000" w:themeColor="text1"/>
          <w:lang w:eastAsia="de-DE"/>
        </w:rPr>
        <w:t xml:space="preserve">providers, </w:t>
      </w:r>
      <w:r w:rsidR="00D00B6C">
        <w:rPr>
          <w:rFonts w:ascii="Times New Roman" w:eastAsia="Times New Roman" w:hAnsi="Times New Roman" w:cs="Times New Roman"/>
          <w:color w:val="000000" w:themeColor="text1"/>
          <w:lang w:eastAsia="de-DE"/>
        </w:rPr>
        <w:t xml:space="preserve">respondents cited </w:t>
      </w:r>
      <w:r w:rsidRPr="00E06A42">
        <w:rPr>
          <w:rFonts w:ascii="Times New Roman" w:eastAsia="Times New Roman" w:hAnsi="Times New Roman" w:cs="Times New Roman"/>
          <w:b/>
          <w:color w:val="000000" w:themeColor="text1"/>
          <w:lang w:eastAsia="de-DE"/>
        </w:rPr>
        <w:t>fixed income, ESG, and alternative asset classes</w:t>
      </w:r>
      <w:r w:rsidRPr="00E06A42">
        <w:rPr>
          <w:rFonts w:ascii="Times New Roman" w:eastAsia="Times New Roman" w:hAnsi="Times New Roman" w:cs="Times New Roman"/>
          <w:color w:val="000000" w:themeColor="text1"/>
          <w:lang w:eastAsia="de-DE"/>
        </w:rPr>
        <w:t xml:space="preserve">. They would also like </w:t>
      </w:r>
      <w:r w:rsidRPr="00E06A42">
        <w:rPr>
          <w:rFonts w:ascii="Times New Roman" w:eastAsia="Times New Roman" w:hAnsi="Times New Roman" w:cs="Times New Roman"/>
          <w:b/>
          <w:color w:val="000000" w:themeColor="text1"/>
          <w:lang w:eastAsia="de-DE"/>
        </w:rPr>
        <w:t>more customised solutions to be developed.</w:t>
      </w:r>
    </w:p>
    <w:p w14:paraId="30430124" w14:textId="70962603" w:rsidR="00DE2760" w:rsidRPr="00E06A42" w:rsidRDefault="00F66329" w:rsidP="00980A55">
      <w:pPr>
        <w:pStyle w:val="Paragraphedeliste"/>
        <w:numPr>
          <w:ilvl w:val="0"/>
          <w:numId w:val="21"/>
        </w:numPr>
        <w:tabs>
          <w:tab w:val="clear" w:pos="709"/>
        </w:tabs>
        <w:spacing w:after="0" w:line="280" w:lineRule="atLeast"/>
        <w:contextualSpacing w:val="0"/>
        <w:rPr>
          <w:rFonts w:ascii="Times New Roman" w:eastAsia="Times New Roman" w:hAnsi="Times New Roman" w:cs="Times New Roman"/>
          <w:color w:val="000000" w:themeColor="text1"/>
          <w:lang w:eastAsia="de-DE"/>
        </w:rPr>
      </w:pPr>
      <w:r w:rsidRPr="00E06A42">
        <w:rPr>
          <w:rFonts w:ascii="Times New Roman" w:hAnsi="Times New Roman" w:cs="Times New Roman"/>
          <w:b/>
          <w:color w:val="000000" w:themeColor="text1"/>
          <w:lang w:eastAsia="de-DE"/>
        </w:rPr>
        <w:t xml:space="preserve">Respondents show a significant interest </w:t>
      </w:r>
      <w:r w:rsidR="00D00B6C">
        <w:rPr>
          <w:rFonts w:ascii="Times New Roman" w:hAnsi="Times New Roman" w:cs="Times New Roman"/>
          <w:b/>
          <w:color w:val="000000" w:themeColor="text1"/>
          <w:lang w:eastAsia="de-DE"/>
        </w:rPr>
        <w:t>in</w:t>
      </w:r>
      <w:r w:rsidR="00D00B6C" w:rsidRPr="00E06A42">
        <w:rPr>
          <w:rFonts w:ascii="Times New Roman" w:hAnsi="Times New Roman" w:cs="Times New Roman"/>
          <w:b/>
          <w:color w:val="000000" w:themeColor="text1"/>
          <w:lang w:eastAsia="de-DE"/>
        </w:rPr>
        <w:t xml:space="preserve"> </w:t>
      </w:r>
      <w:r w:rsidR="00285781" w:rsidRPr="00E06A42">
        <w:rPr>
          <w:rFonts w:ascii="Times New Roman" w:hAnsi="Times New Roman" w:cs="Times New Roman"/>
          <w:b/>
          <w:color w:val="000000" w:themeColor="text1"/>
          <w:lang w:eastAsia="de-DE"/>
        </w:rPr>
        <w:t>Fixed</w:t>
      </w:r>
      <w:r w:rsidR="00D00B6C">
        <w:rPr>
          <w:rFonts w:ascii="Times New Roman" w:hAnsi="Times New Roman" w:cs="Times New Roman"/>
          <w:b/>
          <w:color w:val="000000" w:themeColor="text1"/>
          <w:lang w:eastAsia="de-DE"/>
        </w:rPr>
        <w:t>-</w:t>
      </w:r>
      <w:r w:rsidR="00285781" w:rsidRPr="00E06A42">
        <w:rPr>
          <w:rFonts w:ascii="Times New Roman" w:hAnsi="Times New Roman" w:cs="Times New Roman"/>
          <w:b/>
          <w:color w:val="000000" w:themeColor="text1"/>
          <w:lang w:eastAsia="de-DE"/>
        </w:rPr>
        <w:t xml:space="preserve">Income </w:t>
      </w:r>
      <w:r w:rsidRPr="00E06A42">
        <w:rPr>
          <w:rFonts w:ascii="Times New Roman" w:hAnsi="Times New Roman" w:cs="Times New Roman"/>
          <w:b/>
          <w:color w:val="000000" w:themeColor="text1"/>
          <w:lang w:eastAsia="de-DE"/>
        </w:rPr>
        <w:t xml:space="preserve">Smart Beta </w:t>
      </w:r>
      <w:r w:rsidR="00285781" w:rsidRPr="00E06A42">
        <w:rPr>
          <w:rFonts w:ascii="Times New Roman" w:hAnsi="Times New Roman" w:cs="Times New Roman"/>
          <w:b/>
          <w:color w:val="000000" w:themeColor="text1"/>
          <w:lang w:eastAsia="de-DE"/>
        </w:rPr>
        <w:t>solutions</w:t>
      </w:r>
      <w:r w:rsidRPr="00E06A42">
        <w:rPr>
          <w:rFonts w:ascii="Times New Roman" w:hAnsi="Times New Roman" w:cs="Times New Roman"/>
          <w:b/>
          <w:color w:val="000000" w:themeColor="text1"/>
          <w:lang w:eastAsia="de-DE"/>
        </w:rPr>
        <w:t xml:space="preserve"> and plan to increase their investment in </w:t>
      </w:r>
      <w:r w:rsidR="00D00B6C">
        <w:rPr>
          <w:rFonts w:ascii="Times New Roman" w:hAnsi="Times New Roman" w:cs="Times New Roman"/>
          <w:b/>
          <w:color w:val="000000" w:themeColor="text1"/>
          <w:lang w:eastAsia="de-DE"/>
        </w:rPr>
        <w:t>this area</w:t>
      </w:r>
      <w:r w:rsidR="00E1604A" w:rsidRPr="00E06A42">
        <w:rPr>
          <w:rFonts w:ascii="Times New Roman" w:hAnsi="Times New Roman" w:cs="Times New Roman"/>
          <w:b/>
          <w:color w:val="000000" w:themeColor="text1"/>
          <w:lang w:eastAsia="de-DE"/>
        </w:rPr>
        <w:t xml:space="preserve">. However, they explain </w:t>
      </w:r>
      <w:r w:rsidR="00D00B6C">
        <w:rPr>
          <w:rFonts w:ascii="Times New Roman" w:hAnsi="Times New Roman" w:cs="Times New Roman"/>
          <w:b/>
          <w:color w:val="000000" w:themeColor="text1"/>
          <w:lang w:eastAsia="de-DE"/>
        </w:rPr>
        <w:t xml:space="preserve">that </w:t>
      </w:r>
      <w:r w:rsidR="00E1604A" w:rsidRPr="00E06A42">
        <w:rPr>
          <w:rFonts w:ascii="Times New Roman" w:hAnsi="Times New Roman" w:cs="Times New Roman"/>
          <w:b/>
          <w:color w:val="000000" w:themeColor="text1"/>
          <w:lang w:eastAsia="de-DE"/>
        </w:rPr>
        <w:t xml:space="preserve">their </w:t>
      </w:r>
      <w:r w:rsidR="00D00B6C">
        <w:rPr>
          <w:rFonts w:ascii="Times New Roman" w:hAnsi="Times New Roman" w:cs="Times New Roman"/>
          <w:b/>
          <w:color w:val="000000" w:themeColor="text1"/>
          <w:lang w:eastAsia="de-DE"/>
        </w:rPr>
        <w:t xml:space="preserve">usage is </w:t>
      </w:r>
      <w:r w:rsidR="00E1604A" w:rsidRPr="00E06A42">
        <w:rPr>
          <w:rFonts w:ascii="Times New Roman" w:hAnsi="Times New Roman" w:cs="Times New Roman"/>
          <w:b/>
          <w:color w:val="000000" w:themeColor="text1"/>
          <w:lang w:eastAsia="de-DE"/>
        </w:rPr>
        <w:t xml:space="preserve">limited </w:t>
      </w:r>
      <w:r w:rsidR="00D00B6C">
        <w:rPr>
          <w:rFonts w:ascii="Times New Roman" w:hAnsi="Times New Roman" w:cs="Times New Roman"/>
          <w:b/>
          <w:color w:val="000000" w:themeColor="text1"/>
          <w:lang w:eastAsia="de-DE"/>
        </w:rPr>
        <w:t xml:space="preserve">because the current </w:t>
      </w:r>
      <w:r w:rsidR="008B2356" w:rsidRPr="00E06A42">
        <w:rPr>
          <w:rFonts w:ascii="Times New Roman" w:hAnsi="Times New Roman" w:cs="Times New Roman"/>
          <w:b/>
          <w:color w:val="000000" w:themeColor="text1"/>
          <w:lang w:eastAsia="de-DE"/>
        </w:rPr>
        <w:t xml:space="preserve">offer </w:t>
      </w:r>
      <w:r w:rsidR="00E1604A" w:rsidRPr="00E06A42">
        <w:rPr>
          <w:rFonts w:ascii="Times New Roman" w:hAnsi="Times New Roman" w:cs="Times New Roman"/>
          <w:b/>
          <w:color w:val="000000" w:themeColor="text1"/>
          <w:lang w:eastAsia="de-DE"/>
        </w:rPr>
        <w:t xml:space="preserve">does not </w:t>
      </w:r>
      <w:r w:rsidR="008B2356" w:rsidRPr="00E06A42">
        <w:rPr>
          <w:rFonts w:ascii="Times New Roman" w:hAnsi="Times New Roman" w:cs="Times New Roman"/>
          <w:b/>
          <w:color w:val="000000" w:themeColor="text1"/>
          <w:lang w:eastAsia="de-DE"/>
        </w:rPr>
        <w:t xml:space="preserve">correspond </w:t>
      </w:r>
      <w:r w:rsidR="00E1604A" w:rsidRPr="00E06A42">
        <w:rPr>
          <w:rFonts w:ascii="Times New Roman" w:hAnsi="Times New Roman" w:cs="Times New Roman"/>
          <w:b/>
          <w:color w:val="000000" w:themeColor="text1"/>
          <w:lang w:eastAsia="de-DE"/>
        </w:rPr>
        <w:t>t</w:t>
      </w:r>
      <w:r w:rsidR="008B2356" w:rsidRPr="00E06A42">
        <w:rPr>
          <w:rFonts w:ascii="Times New Roman" w:hAnsi="Times New Roman" w:cs="Times New Roman"/>
          <w:b/>
          <w:color w:val="000000" w:themeColor="text1"/>
          <w:lang w:eastAsia="de-DE"/>
        </w:rPr>
        <w:t>o their needs in term of risk factor</w:t>
      </w:r>
      <w:r w:rsidR="00F85175" w:rsidRPr="00E06A42">
        <w:rPr>
          <w:rFonts w:ascii="Times New Roman" w:hAnsi="Times New Roman" w:cs="Times New Roman"/>
          <w:b/>
          <w:color w:val="000000" w:themeColor="text1"/>
          <w:lang w:eastAsia="de-DE"/>
        </w:rPr>
        <w:t>,</w:t>
      </w:r>
      <w:r w:rsidR="008B2356" w:rsidRPr="00E06A42">
        <w:rPr>
          <w:rFonts w:ascii="Times New Roman" w:hAnsi="Times New Roman" w:cs="Times New Roman"/>
          <w:b/>
          <w:color w:val="000000" w:themeColor="text1"/>
          <w:lang w:eastAsia="de-DE"/>
        </w:rPr>
        <w:t xml:space="preserve"> and </w:t>
      </w:r>
      <w:r w:rsidR="00D00B6C">
        <w:rPr>
          <w:rFonts w:ascii="Times New Roman" w:hAnsi="Times New Roman" w:cs="Times New Roman"/>
          <w:b/>
          <w:color w:val="000000" w:themeColor="text1"/>
          <w:lang w:eastAsia="de-DE"/>
        </w:rPr>
        <w:t xml:space="preserve">due to </w:t>
      </w:r>
      <w:r w:rsidR="00E1604A" w:rsidRPr="00E06A42">
        <w:rPr>
          <w:rFonts w:ascii="Times New Roman" w:hAnsi="Times New Roman" w:cs="Times New Roman"/>
          <w:b/>
          <w:color w:val="000000" w:themeColor="text1"/>
          <w:lang w:eastAsia="de-DE"/>
        </w:rPr>
        <w:t>a lack</w:t>
      </w:r>
      <w:r w:rsidRPr="00E06A42">
        <w:rPr>
          <w:rFonts w:ascii="Times New Roman" w:hAnsi="Times New Roman" w:cs="Times New Roman"/>
          <w:b/>
          <w:color w:val="000000" w:themeColor="text1"/>
          <w:lang w:eastAsia="de-DE"/>
        </w:rPr>
        <w:t xml:space="preserve"> </w:t>
      </w:r>
      <w:r w:rsidR="00E1604A" w:rsidRPr="00E06A42">
        <w:rPr>
          <w:rFonts w:ascii="Times New Roman" w:hAnsi="Times New Roman" w:cs="Times New Roman"/>
          <w:b/>
          <w:color w:val="000000" w:themeColor="text1"/>
          <w:lang w:eastAsia="de-DE"/>
        </w:rPr>
        <w:t xml:space="preserve">of </w:t>
      </w:r>
      <w:r w:rsidRPr="00E06A42">
        <w:rPr>
          <w:rFonts w:ascii="Times New Roman" w:hAnsi="Times New Roman" w:cs="Times New Roman"/>
          <w:b/>
          <w:color w:val="000000" w:themeColor="text1"/>
          <w:lang w:eastAsia="de-DE"/>
        </w:rPr>
        <w:t xml:space="preserve">research in the area. </w:t>
      </w:r>
      <w:r w:rsidR="00015EC6" w:rsidRPr="00E06A42">
        <w:rPr>
          <w:rFonts w:ascii="Times New Roman" w:eastAsia="Times New Roman" w:hAnsi="Times New Roman" w:cs="Times New Roman"/>
          <w:color w:val="000000" w:themeColor="text1"/>
          <w:lang w:eastAsia="de-DE"/>
        </w:rPr>
        <w:t xml:space="preserve">The development of new products corresponding to these demands may lead to an even wider adoption of </w:t>
      </w:r>
      <w:r w:rsidR="00AB78E1" w:rsidRPr="00E06A42">
        <w:rPr>
          <w:rFonts w:ascii="Times New Roman" w:eastAsia="Times New Roman" w:hAnsi="Times New Roman" w:cs="Times New Roman"/>
          <w:color w:val="000000" w:themeColor="text1"/>
          <w:lang w:eastAsia="de-DE"/>
        </w:rPr>
        <w:t>S</w:t>
      </w:r>
      <w:r w:rsidR="00015EC6" w:rsidRPr="00E06A42">
        <w:rPr>
          <w:rFonts w:ascii="Times New Roman" w:eastAsia="Times New Roman" w:hAnsi="Times New Roman" w:cs="Times New Roman"/>
          <w:color w:val="000000" w:themeColor="text1"/>
          <w:lang w:eastAsia="de-DE"/>
        </w:rPr>
        <w:t xml:space="preserve">mart </w:t>
      </w:r>
      <w:r w:rsidR="00AB78E1" w:rsidRPr="00E06A42">
        <w:rPr>
          <w:rFonts w:ascii="Times New Roman" w:eastAsia="Times New Roman" w:hAnsi="Times New Roman" w:cs="Times New Roman"/>
          <w:color w:val="000000" w:themeColor="text1"/>
          <w:lang w:eastAsia="de-DE"/>
        </w:rPr>
        <w:t>B</w:t>
      </w:r>
      <w:r w:rsidR="00015EC6" w:rsidRPr="00E06A42">
        <w:rPr>
          <w:rFonts w:ascii="Times New Roman" w:eastAsia="Times New Roman" w:hAnsi="Times New Roman" w:cs="Times New Roman"/>
          <w:color w:val="000000" w:themeColor="text1"/>
          <w:lang w:eastAsia="de-DE"/>
        </w:rPr>
        <w:t>eta solutions.</w:t>
      </w:r>
    </w:p>
    <w:p w14:paraId="158F8272" w14:textId="77777777" w:rsidR="0038022E" w:rsidRPr="00E06A42" w:rsidRDefault="0038022E" w:rsidP="00980A55">
      <w:pPr>
        <w:spacing w:after="200" w:line="276" w:lineRule="auto"/>
        <w:rPr>
          <w:color w:val="000000" w:themeColor="text1"/>
          <w:lang w:eastAsia="de-DE"/>
        </w:rPr>
      </w:pPr>
    </w:p>
    <w:p w14:paraId="3D8C0404" w14:textId="11A35247" w:rsidR="000273F0" w:rsidRPr="00A90C5E" w:rsidRDefault="000273F0" w:rsidP="000273F0">
      <w:pPr>
        <w:jc w:val="both"/>
        <w:rPr>
          <w:color w:val="000000" w:themeColor="text1"/>
          <w:sz w:val="22"/>
          <w:szCs w:val="22"/>
          <w:lang w:eastAsia="de-DE"/>
        </w:rPr>
      </w:pPr>
      <w:r w:rsidRPr="00A90C5E">
        <w:rPr>
          <w:color w:val="000000" w:themeColor="text1"/>
          <w:sz w:val="22"/>
          <w:szCs w:val="22"/>
          <w:lang w:eastAsia="de-DE"/>
        </w:rPr>
        <w:t xml:space="preserve">Commenting on the results of the survey, Fannie </w:t>
      </w:r>
      <w:proofErr w:type="spellStart"/>
      <w:r w:rsidRPr="00A90C5E">
        <w:rPr>
          <w:color w:val="000000" w:themeColor="text1"/>
          <w:sz w:val="22"/>
          <w:szCs w:val="22"/>
          <w:lang w:eastAsia="de-DE"/>
        </w:rPr>
        <w:t>Wurtz</w:t>
      </w:r>
      <w:proofErr w:type="spellEnd"/>
      <w:r w:rsidRPr="00A90C5E">
        <w:rPr>
          <w:color w:val="000000" w:themeColor="text1"/>
          <w:sz w:val="22"/>
          <w:szCs w:val="22"/>
          <w:lang w:eastAsia="de-DE"/>
        </w:rPr>
        <w:t xml:space="preserve">, Head of </w:t>
      </w:r>
      <w:proofErr w:type="spellStart"/>
      <w:r w:rsidRPr="00A90C5E">
        <w:rPr>
          <w:color w:val="000000" w:themeColor="text1"/>
          <w:sz w:val="22"/>
          <w:szCs w:val="22"/>
          <w:lang w:eastAsia="de-DE"/>
        </w:rPr>
        <w:t>Amundi</w:t>
      </w:r>
      <w:proofErr w:type="spellEnd"/>
      <w:r w:rsidRPr="00A90C5E">
        <w:rPr>
          <w:color w:val="000000" w:themeColor="text1"/>
          <w:sz w:val="22"/>
          <w:szCs w:val="22"/>
          <w:lang w:eastAsia="de-DE"/>
        </w:rPr>
        <w:t xml:space="preserve"> ETF, Indexing &amp; Smart Beta, said, “</w:t>
      </w:r>
      <w:r w:rsidR="00F37926" w:rsidRPr="00F37926">
        <w:rPr>
          <w:color w:val="000000" w:themeColor="text1"/>
          <w:sz w:val="22"/>
          <w:szCs w:val="22"/>
          <w:lang w:eastAsia="de-DE"/>
        </w:rPr>
        <w:t xml:space="preserve">The results shows once again the significant role of ETFs in investor’s portfolios and rising interest in Fixed Income ETFs. The demand for Smart Beta and Factor solutions keep increasing too, as well as solutions that apply ESG criteria. As the leading European asset manager and a pioneer on socially responsible investing, </w:t>
      </w:r>
      <w:proofErr w:type="spellStart"/>
      <w:r w:rsidR="00F37926" w:rsidRPr="00F37926">
        <w:rPr>
          <w:color w:val="000000" w:themeColor="text1"/>
          <w:sz w:val="22"/>
          <w:szCs w:val="22"/>
          <w:lang w:eastAsia="de-DE"/>
        </w:rPr>
        <w:t>Amundi</w:t>
      </w:r>
      <w:proofErr w:type="spellEnd"/>
      <w:r w:rsidR="00F37926" w:rsidRPr="00F37926">
        <w:rPr>
          <w:color w:val="000000" w:themeColor="text1"/>
          <w:sz w:val="22"/>
          <w:szCs w:val="22"/>
          <w:lang w:eastAsia="de-DE"/>
        </w:rPr>
        <w:t xml:space="preserve"> continues innovating</w:t>
      </w:r>
      <w:r w:rsidR="00F37926">
        <w:rPr>
          <w:color w:val="000000" w:themeColor="text1"/>
          <w:sz w:val="22"/>
          <w:szCs w:val="22"/>
          <w:lang w:eastAsia="de-DE"/>
        </w:rPr>
        <w:t xml:space="preserve"> to answer to investors’ needs</w:t>
      </w:r>
      <w:bookmarkStart w:id="0" w:name="_GoBack"/>
      <w:bookmarkEnd w:id="0"/>
      <w:r w:rsidRPr="00A90C5E">
        <w:rPr>
          <w:color w:val="000000" w:themeColor="text1"/>
          <w:sz w:val="22"/>
          <w:szCs w:val="22"/>
          <w:lang w:eastAsia="de-DE"/>
        </w:rPr>
        <w:t xml:space="preserve">”. </w:t>
      </w:r>
    </w:p>
    <w:p w14:paraId="3F82D48F" w14:textId="77777777" w:rsidR="00F40AD0" w:rsidRPr="00A90C5E" w:rsidRDefault="00F40AD0" w:rsidP="00783A46">
      <w:pPr>
        <w:spacing w:line="280" w:lineRule="atLeast"/>
        <w:jc w:val="both"/>
        <w:rPr>
          <w:color w:val="000000" w:themeColor="text1"/>
          <w:sz w:val="22"/>
          <w:szCs w:val="22"/>
          <w:lang w:eastAsia="de-DE"/>
        </w:rPr>
      </w:pPr>
    </w:p>
    <w:p w14:paraId="19215A41" w14:textId="4A3DF21D" w:rsidR="00614EBF" w:rsidRPr="00E06A42" w:rsidRDefault="00BD6046" w:rsidP="001A6DF6">
      <w:pPr>
        <w:jc w:val="both"/>
        <w:rPr>
          <w:sz w:val="22"/>
          <w:szCs w:val="22"/>
          <w:lang w:eastAsia="de-DE"/>
        </w:rPr>
      </w:pPr>
      <w:proofErr w:type="gramStart"/>
      <w:r w:rsidRPr="00E06A42">
        <w:rPr>
          <w:sz w:val="22"/>
          <w:szCs w:val="22"/>
          <w:lang w:eastAsia="de-DE"/>
        </w:rPr>
        <w:t>Professor Lionel Martellini, Director of EDHEC-Risk Institute, added, “</w:t>
      </w:r>
      <w:r w:rsidR="00E06A42" w:rsidRPr="00E06A42">
        <w:rPr>
          <w:sz w:val="22"/>
          <w:szCs w:val="22"/>
          <w:lang w:eastAsia="de-DE"/>
        </w:rPr>
        <w:t xml:space="preserve">The 2019 edition of the EDHEC European ETF, Smart Beta and Factor Investing Survey conducted as part of the </w:t>
      </w:r>
      <w:proofErr w:type="spellStart"/>
      <w:r w:rsidR="00E06A42" w:rsidRPr="00E06A42">
        <w:rPr>
          <w:sz w:val="22"/>
          <w:szCs w:val="22"/>
          <w:lang w:eastAsia="de-DE"/>
        </w:rPr>
        <w:t>Amundi</w:t>
      </w:r>
      <w:proofErr w:type="spellEnd"/>
      <w:r w:rsidR="00E06A42" w:rsidRPr="00E06A42">
        <w:rPr>
          <w:sz w:val="22"/>
          <w:szCs w:val="22"/>
          <w:lang w:eastAsia="de-DE"/>
        </w:rPr>
        <w:t xml:space="preserve"> research chair at EDHEC-Risk Institute on "ETF, Indexing and Smart Beta Investment Strategies" shows a true coming </w:t>
      </w:r>
      <w:r w:rsidR="00954FCB">
        <w:rPr>
          <w:sz w:val="22"/>
          <w:szCs w:val="22"/>
          <w:lang w:eastAsia="de-DE"/>
        </w:rPr>
        <w:t xml:space="preserve">of age </w:t>
      </w:r>
      <w:r w:rsidR="00E06A42" w:rsidRPr="00E06A42">
        <w:rPr>
          <w:sz w:val="22"/>
          <w:szCs w:val="22"/>
          <w:lang w:eastAsia="de-DE"/>
        </w:rPr>
        <w:t>in investors’ perception and usage of ETFs, which have become mainstream investment instruments for asset owners and are increasingly used in active market, sector</w:t>
      </w:r>
      <w:r w:rsidR="00954FCB">
        <w:rPr>
          <w:sz w:val="22"/>
          <w:szCs w:val="22"/>
          <w:lang w:eastAsia="de-DE"/>
        </w:rPr>
        <w:t>-specific</w:t>
      </w:r>
      <w:r w:rsidR="00E06A42" w:rsidRPr="00E06A42">
        <w:rPr>
          <w:sz w:val="22"/>
          <w:szCs w:val="22"/>
          <w:lang w:eastAsia="de-DE"/>
        </w:rPr>
        <w:t xml:space="preserve"> but also factor rotation strategies.</w:t>
      </w:r>
      <w:proofErr w:type="gramEnd"/>
      <w:r w:rsidR="00E06A42" w:rsidRPr="00E06A42">
        <w:rPr>
          <w:sz w:val="22"/>
          <w:szCs w:val="22"/>
          <w:lang w:eastAsia="de-DE"/>
        </w:rPr>
        <w:t xml:space="preserve"> </w:t>
      </w:r>
      <w:r w:rsidR="00954FCB">
        <w:rPr>
          <w:sz w:val="22"/>
          <w:szCs w:val="22"/>
          <w:lang w:eastAsia="de-DE"/>
        </w:rPr>
        <w:t xml:space="preserve">There is a </w:t>
      </w:r>
      <w:r w:rsidR="00E06A42" w:rsidRPr="00E06A42">
        <w:rPr>
          <w:sz w:val="22"/>
          <w:szCs w:val="22"/>
          <w:lang w:eastAsia="de-DE"/>
        </w:rPr>
        <w:t>substantial appetite for new development in the area of SRI and fixed-income factor investing, where academically</w:t>
      </w:r>
      <w:r w:rsidR="00954FCB">
        <w:rPr>
          <w:sz w:val="22"/>
          <w:szCs w:val="22"/>
          <w:lang w:eastAsia="de-DE"/>
        </w:rPr>
        <w:t xml:space="preserve"> </w:t>
      </w:r>
      <w:r w:rsidR="00E06A42" w:rsidRPr="00E06A42">
        <w:rPr>
          <w:sz w:val="22"/>
          <w:szCs w:val="22"/>
          <w:lang w:eastAsia="de-DE"/>
        </w:rPr>
        <w:t>grounded product innovation is still needed</w:t>
      </w:r>
      <w:r w:rsidR="00614EBF" w:rsidRPr="00E06A42">
        <w:rPr>
          <w:sz w:val="22"/>
          <w:szCs w:val="22"/>
          <w:lang w:eastAsia="de-DE"/>
        </w:rPr>
        <w:t>”</w:t>
      </w:r>
      <w:r w:rsidR="00F147F4" w:rsidRPr="00E06A42">
        <w:rPr>
          <w:sz w:val="22"/>
          <w:szCs w:val="22"/>
          <w:lang w:eastAsia="de-DE"/>
        </w:rPr>
        <w:t>.</w:t>
      </w:r>
    </w:p>
    <w:p w14:paraId="2F901D19" w14:textId="77777777" w:rsidR="00614EBF" w:rsidRPr="00E06A42" w:rsidRDefault="00614EBF" w:rsidP="00783A46">
      <w:pPr>
        <w:spacing w:line="280" w:lineRule="atLeast"/>
        <w:jc w:val="both"/>
        <w:rPr>
          <w:snapToGrid w:val="0"/>
          <w:color w:val="000000"/>
          <w:sz w:val="22"/>
          <w:szCs w:val="22"/>
        </w:rPr>
      </w:pPr>
      <w:r w:rsidRPr="00E06A42">
        <w:rPr>
          <w:snapToGrid w:val="0"/>
          <w:color w:val="000000"/>
          <w:sz w:val="22"/>
          <w:szCs w:val="22"/>
        </w:rPr>
        <w:t xml:space="preserve"> </w:t>
      </w:r>
    </w:p>
    <w:p w14:paraId="46B90560" w14:textId="77777777" w:rsidR="00F40D60" w:rsidRPr="00E06A42" w:rsidRDefault="00F40D60" w:rsidP="00BC6E06">
      <w:pPr>
        <w:spacing w:line="280" w:lineRule="atLeast"/>
        <w:jc w:val="both"/>
        <w:rPr>
          <w:snapToGrid w:val="0"/>
          <w:color w:val="000000"/>
          <w:sz w:val="22"/>
          <w:szCs w:val="22"/>
        </w:rPr>
      </w:pPr>
      <w:r w:rsidRPr="00E06A42">
        <w:rPr>
          <w:snapToGrid w:val="0"/>
          <w:color w:val="000000"/>
          <w:sz w:val="22"/>
          <w:szCs w:val="22"/>
        </w:rPr>
        <w:t xml:space="preserve">A copy of the EDHEC-Risk Institute survey </w:t>
      </w:r>
      <w:proofErr w:type="gramStart"/>
      <w:r w:rsidRPr="00E06A42">
        <w:rPr>
          <w:snapToGrid w:val="0"/>
          <w:color w:val="000000"/>
          <w:sz w:val="22"/>
          <w:szCs w:val="22"/>
        </w:rPr>
        <w:t>can be found</w:t>
      </w:r>
      <w:proofErr w:type="gramEnd"/>
      <w:r w:rsidRPr="00E06A42">
        <w:rPr>
          <w:snapToGrid w:val="0"/>
          <w:color w:val="000000"/>
          <w:sz w:val="22"/>
          <w:szCs w:val="22"/>
        </w:rPr>
        <w:t xml:space="preserve"> here:</w:t>
      </w:r>
    </w:p>
    <w:p w14:paraId="430FFDAE" w14:textId="77777777" w:rsidR="00BC2CF3" w:rsidRPr="00E06A42" w:rsidRDefault="00BC2CF3" w:rsidP="00F40D60">
      <w:pPr>
        <w:autoSpaceDE w:val="0"/>
        <w:autoSpaceDN w:val="0"/>
        <w:adjustRightInd w:val="0"/>
        <w:jc w:val="both"/>
        <w:rPr>
          <w:sz w:val="22"/>
          <w:szCs w:val="22"/>
        </w:rPr>
      </w:pPr>
    </w:p>
    <w:p w14:paraId="5783D2D4" w14:textId="5CB9D1E7" w:rsidR="00BC2CF3" w:rsidRPr="00E06A42" w:rsidRDefault="00F37926" w:rsidP="00F40D60">
      <w:pPr>
        <w:autoSpaceDE w:val="0"/>
        <w:autoSpaceDN w:val="0"/>
        <w:adjustRightInd w:val="0"/>
        <w:jc w:val="both"/>
      </w:pPr>
      <w:hyperlink r:id="rId9" w:history="1">
        <w:r w:rsidR="00CB7392" w:rsidRPr="00E06A42">
          <w:rPr>
            <w:rStyle w:val="Lienhypertexte"/>
            <w:sz w:val="22"/>
            <w:szCs w:val="22"/>
          </w:rPr>
          <w:t>EDHEC-Risk Institute Publication</w:t>
        </w:r>
        <w:r w:rsidR="00954FCB">
          <w:rPr>
            <w:rStyle w:val="Lienhypertexte"/>
            <w:sz w:val="22"/>
            <w:szCs w:val="22"/>
          </w:rPr>
          <w:t>:</w:t>
        </w:r>
        <w:r w:rsidR="00CB7392" w:rsidRPr="00E06A42">
          <w:rPr>
            <w:rStyle w:val="Lienhypertexte"/>
            <w:sz w:val="22"/>
            <w:szCs w:val="22"/>
          </w:rPr>
          <w:t xml:space="preserve"> EDHEC European ETF</w:t>
        </w:r>
        <w:r w:rsidR="00954FCB">
          <w:rPr>
            <w:rStyle w:val="Lienhypertexte"/>
            <w:sz w:val="22"/>
            <w:szCs w:val="22"/>
          </w:rPr>
          <w:t>,</w:t>
        </w:r>
        <w:r w:rsidR="00CB7392" w:rsidRPr="00E06A42">
          <w:rPr>
            <w:rStyle w:val="Lienhypertexte"/>
            <w:sz w:val="22"/>
            <w:szCs w:val="22"/>
          </w:rPr>
          <w:t xml:space="preserve"> Smart Beta and Factor Investing Survey 201</w:t>
        </w:r>
        <w:r w:rsidR="00954FCB">
          <w:rPr>
            <w:rStyle w:val="Lienhypertexte"/>
            <w:sz w:val="22"/>
            <w:szCs w:val="22"/>
          </w:rPr>
          <w:t>9</w:t>
        </w:r>
      </w:hyperlink>
    </w:p>
    <w:p w14:paraId="773BE7F4" w14:textId="203AD866" w:rsidR="003E169C" w:rsidRDefault="003E169C" w:rsidP="00F40D60">
      <w:pPr>
        <w:autoSpaceDE w:val="0"/>
        <w:autoSpaceDN w:val="0"/>
        <w:adjustRightInd w:val="0"/>
        <w:jc w:val="both"/>
      </w:pPr>
    </w:p>
    <w:p w14:paraId="503E6CC8" w14:textId="77777777" w:rsidR="003E169C" w:rsidRPr="00E06A42" w:rsidRDefault="003E169C" w:rsidP="003E169C">
      <w:pPr>
        <w:autoSpaceDE w:val="0"/>
        <w:autoSpaceDN w:val="0"/>
        <w:adjustRightInd w:val="0"/>
        <w:spacing w:line="280" w:lineRule="atLeast"/>
        <w:jc w:val="both"/>
        <w:rPr>
          <w:b/>
          <w:sz w:val="22"/>
          <w:szCs w:val="22"/>
        </w:rPr>
      </w:pPr>
      <w:r w:rsidRPr="00E06A42">
        <w:rPr>
          <w:b/>
          <w:sz w:val="22"/>
          <w:szCs w:val="22"/>
        </w:rPr>
        <w:t xml:space="preserve">This research </w:t>
      </w:r>
      <w:proofErr w:type="gramStart"/>
      <w:r w:rsidRPr="00E06A42">
        <w:rPr>
          <w:b/>
          <w:sz w:val="22"/>
          <w:szCs w:val="22"/>
        </w:rPr>
        <w:t>was supported</w:t>
      </w:r>
      <w:proofErr w:type="gramEnd"/>
      <w:r w:rsidRPr="00E06A42">
        <w:rPr>
          <w:b/>
          <w:sz w:val="22"/>
          <w:szCs w:val="22"/>
        </w:rPr>
        <w:t xml:space="preserve"> by </w:t>
      </w:r>
      <w:proofErr w:type="spellStart"/>
      <w:r w:rsidRPr="00E06A42">
        <w:rPr>
          <w:b/>
          <w:sz w:val="22"/>
          <w:szCs w:val="22"/>
        </w:rPr>
        <w:t>Amundi</w:t>
      </w:r>
      <w:proofErr w:type="spellEnd"/>
      <w:r w:rsidRPr="00E06A42">
        <w:rPr>
          <w:b/>
          <w:sz w:val="22"/>
          <w:szCs w:val="22"/>
        </w:rPr>
        <w:t xml:space="preserve"> as part of the research chair at EDHEC-Risk Institute on “ETF, Indexing and Smart Beta Investment Strategies”</w:t>
      </w:r>
      <w:r w:rsidR="00F147F4" w:rsidRPr="00E06A42">
        <w:rPr>
          <w:b/>
          <w:sz w:val="22"/>
          <w:szCs w:val="22"/>
        </w:rPr>
        <w:t>.</w:t>
      </w:r>
    </w:p>
    <w:p w14:paraId="05E0194A" w14:textId="77777777" w:rsidR="00FB3378" w:rsidRPr="00E06A42" w:rsidRDefault="00FB3378" w:rsidP="00F40D60">
      <w:pPr>
        <w:autoSpaceDE w:val="0"/>
        <w:autoSpaceDN w:val="0"/>
        <w:adjustRightInd w:val="0"/>
        <w:jc w:val="both"/>
        <w:rPr>
          <w:sz w:val="22"/>
          <w:szCs w:val="22"/>
        </w:rPr>
      </w:pPr>
    </w:p>
    <w:p w14:paraId="0136DD31" w14:textId="77777777" w:rsidR="00110413" w:rsidRPr="00E06A42" w:rsidRDefault="00110413" w:rsidP="00F40D60">
      <w:pPr>
        <w:autoSpaceDE w:val="0"/>
        <w:autoSpaceDN w:val="0"/>
        <w:adjustRightInd w:val="0"/>
        <w:jc w:val="both"/>
        <w:rPr>
          <w:sz w:val="22"/>
          <w:szCs w:val="22"/>
        </w:rPr>
      </w:pPr>
    </w:p>
    <w:p w14:paraId="30D041D8" w14:textId="77777777" w:rsidR="00110413" w:rsidRPr="00E06A42" w:rsidRDefault="00110413" w:rsidP="00F40D60">
      <w:pPr>
        <w:autoSpaceDE w:val="0"/>
        <w:autoSpaceDN w:val="0"/>
        <w:adjustRightInd w:val="0"/>
        <w:jc w:val="both"/>
        <w:rPr>
          <w:sz w:val="22"/>
          <w:szCs w:val="22"/>
        </w:rPr>
      </w:pPr>
    </w:p>
    <w:p w14:paraId="407AD948" w14:textId="77777777" w:rsidR="00110413" w:rsidRPr="00E06A42" w:rsidRDefault="00110413" w:rsidP="00F40D60">
      <w:pPr>
        <w:autoSpaceDE w:val="0"/>
        <w:autoSpaceDN w:val="0"/>
        <w:adjustRightInd w:val="0"/>
        <w:jc w:val="both"/>
        <w:rPr>
          <w:sz w:val="22"/>
          <w:szCs w:val="22"/>
        </w:rPr>
      </w:pPr>
    </w:p>
    <w:p w14:paraId="43EE6E05" w14:textId="77777777" w:rsidR="00BC5F44" w:rsidRPr="00E06A42" w:rsidRDefault="001414B5" w:rsidP="00BC5F44">
      <w:pPr>
        <w:autoSpaceDE w:val="0"/>
        <w:autoSpaceDN w:val="0"/>
        <w:adjustRightInd w:val="0"/>
        <w:jc w:val="both"/>
        <w:rPr>
          <w:snapToGrid w:val="0"/>
          <w:color w:val="000000"/>
          <w:sz w:val="22"/>
          <w:szCs w:val="22"/>
        </w:rPr>
      </w:pPr>
      <w:r w:rsidRPr="00E06A42">
        <w:rPr>
          <w:noProof/>
          <w:color w:val="000000"/>
          <w:sz w:val="22"/>
          <w:szCs w:val="22"/>
          <w:lang w:val="fr-FR"/>
        </w:rPr>
        <mc:AlternateContent>
          <mc:Choice Requires="wpg">
            <w:drawing>
              <wp:anchor distT="0" distB="0" distL="114300" distR="114300" simplePos="0" relativeHeight="251658240" behindDoc="1" locked="0" layoutInCell="1" allowOverlap="1" wp14:anchorId="45C6486D" wp14:editId="62D549DF">
                <wp:simplePos x="0" y="0"/>
                <wp:positionH relativeFrom="column">
                  <wp:posOffset>0</wp:posOffset>
                </wp:positionH>
                <wp:positionV relativeFrom="paragraph">
                  <wp:posOffset>39370</wp:posOffset>
                </wp:positionV>
                <wp:extent cx="5829300" cy="952500"/>
                <wp:effectExtent l="0" t="0" r="0" b="0"/>
                <wp:wrapNone/>
                <wp:docPr id="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952500"/>
                          <a:chOff x="1418" y="1238"/>
                          <a:chExt cx="9180" cy="1620"/>
                        </a:xfrm>
                      </wpg:grpSpPr>
                      <wps:wsp>
                        <wps:cNvPr id="2" name="Rectangle 31"/>
                        <wps:cNvSpPr>
                          <a:spLocks noChangeArrowheads="1"/>
                        </wps:cNvSpPr>
                        <wps:spPr bwMode="auto">
                          <a:xfrm>
                            <a:off x="1418" y="1238"/>
                            <a:ext cx="9180" cy="1620"/>
                          </a:xfrm>
                          <a:prstGeom prst="rect">
                            <a:avLst/>
                          </a:prstGeom>
                          <a:solidFill>
                            <a:srgbClr val="DDDDDD"/>
                          </a:solidFill>
                          <a:ln>
                            <a:noFill/>
                          </a:ln>
                          <a:extLst>
                            <a:ext uri="{91240B29-F687-4F45-9708-019B960494DF}">
                              <a14:hiddenLine xmlns:a14="http://schemas.microsoft.com/office/drawing/2010/main" w="12700">
                                <a:solidFill>
                                  <a:srgbClr val="800000"/>
                                </a:solidFill>
                                <a:prstDash val="dashDot"/>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32" descr="edhec logo press releas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95" y="1571"/>
                            <a:ext cx="1009" cy="9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9E6FF90" id="Group 30" o:spid="_x0000_s1026" style="position:absolute;margin-left:0;margin-top:3.1pt;width:459pt;height:75pt;z-index:-251658240" coordorigin="1418,1238" coordsize="9180,1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">
                <v:rect id="Rectangle 31" o:spid="_x0000_s1027" style="position:absolute;left:1418;top:1238;width:91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" fillcolor="#ddd" stroked="f" strokecolor="maroon" strokeweight="1pt">
                  <v:stroke dashstyle="dashDo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8" type="#_x0000_t75" alt="edhec logo press release 3" style="position:absolute;left:1595;top:1571;width:1009;height: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">
                  <v:imagedata r:id="rId12" o:title="edhec logo press release 3"/>
                </v:shape>
              </v:group>
            </w:pict>
          </mc:Fallback>
        </mc:AlternateContent>
      </w:r>
    </w:p>
    <w:p w14:paraId="2CFF834B" w14:textId="77777777" w:rsidR="003E169C" w:rsidRPr="00E06A42" w:rsidRDefault="003E169C" w:rsidP="003E169C">
      <w:pPr>
        <w:tabs>
          <w:tab w:val="left" w:pos="3240"/>
        </w:tabs>
        <w:spacing w:line="280" w:lineRule="atLeast"/>
        <w:ind w:left="1622"/>
        <w:jc w:val="both"/>
        <w:rPr>
          <w:b/>
          <w:bCs/>
          <w:color w:val="800000"/>
          <w:sz w:val="22"/>
          <w:szCs w:val="22"/>
        </w:rPr>
      </w:pPr>
      <w:r w:rsidRPr="00E06A42">
        <w:rPr>
          <w:b/>
          <w:bCs/>
          <w:color w:val="800000"/>
          <w:sz w:val="22"/>
          <w:szCs w:val="22"/>
        </w:rPr>
        <w:t>Contact:</w:t>
      </w:r>
    </w:p>
    <w:p w14:paraId="615CA70A" w14:textId="77777777" w:rsidR="003E169C" w:rsidRPr="00E06A42" w:rsidRDefault="003E169C" w:rsidP="003E169C">
      <w:pPr>
        <w:tabs>
          <w:tab w:val="left" w:pos="3240"/>
        </w:tabs>
        <w:spacing w:line="280" w:lineRule="atLeast"/>
        <w:ind w:left="1620"/>
        <w:jc w:val="both"/>
        <w:rPr>
          <w:b/>
          <w:bCs/>
          <w:sz w:val="22"/>
          <w:szCs w:val="22"/>
        </w:rPr>
      </w:pPr>
      <w:r w:rsidRPr="00E06A42">
        <w:rPr>
          <w:sz w:val="22"/>
          <w:szCs w:val="22"/>
        </w:rPr>
        <w:t xml:space="preserve">For more information, please contact: </w:t>
      </w:r>
      <w:r w:rsidRPr="00E06A42">
        <w:rPr>
          <w:b/>
          <w:bCs/>
          <w:sz w:val="22"/>
          <w:szCs w:val="22"/>
        </w:rPr>
        <w:t>Maud Gauchon</w:t>
      </w:r>
    </w:p>
    <w:p w14:paraId="3A811FD2" w14:textId="77777777" w:rsidR="003E169C" w:rsidRPr="00E06A42" w:rsidRDefault="003E169C" w:rsidP="003E169C">
      <w:pPr>
        <w:tabs>
          <w:tab w:val="left" w:pos="3240"/>
        </w:tabs>
        <w:spacing w:line="280" w:lineRule="atLeast"/>
        <w:ind w:left="1620"/>
        <w:jc w:val="both"/>
        <w:rPr>
          <w:sz w:val="22"/>
          <w:szCs w:val="22"/>
          <w:lang w:val="en-US"/>
        </w:rPr>
      </w:pPr>
      <w:r w:rsidRPr="00E06A42">
        <w:rPr>
          <w:sz w:val="22"/>
          <w:szCs w:val="22"/>
          <w:lang w:val="en-US"/>
        </w:rPr>
        <w:t xml:space="preserve">Tel.: </w:t>
      </w:r>
      <w:r w:rsidRPr="00E06A42">
        <w:rPr>
          <w:b/>
          <w:bCs/>
          <w:sz w:val="22"/>
          <w:szCs w:val="22"/>
          <w:lang w:val="en-US"/>
        </w:rPr>
        <w:t>+33 493 187 887</w:t>
      </w:r>
      <w:r w:rsidRPr="00E06A42">
        <w:rPr>
          <w:sz w:val="22"/>
          <w:szCs w:val="22"/>
          <w:lang w:val="en-US"/>
        </w:rPr>
        <w:t xml:space="preserve"> – </w:t>
      </w:r>
      <w:proofErr w:type="gramStart"/>
      <w:r w:rsidRPr="00E06A42">
        <w:rPr>
          <w:sz w:val="22"/>
          <w:szCs w:val="22"/>
          <w:lang w:val="en-US"/>
        </w:rPr>
        <w:t>E-mail:</w:t>
      </w:r>
      <w:proofErr w:type="gramEnd"/>
      <w:r w:rsidRPr="00E06A42">
        <w:rPr>
          <w:sz w:val="22"/>
          <w:szCs w:val="22"/>
          <w:lang w:val="en-US"/>
        </w:rPr>
        <w:t xml:space="preserve"> </w:t>
      </w:r>
      <w:hyperlink r:id="rId13" w:history="1">
        <w:r w:rsidRPr="00E06A42">
          <w:rPr>
            <w:rStyle w:val="Lienhypertexte"/>
            <w:rFonts w:eastAsia="SimSun"/>
            <w:sz w:val="22"/>
            <w:szCs w:val="22"/>
            <w:lang w:val="en-US"/>
          </w:rPr>
          <w:t>maud.gauchon@edhec-risk.com</w:t>
        </w:r>
      </w:hyperlink>
    </w:p>
    <w:p w14:paraId="06AE986E" w14:textId="457E11A9" w:rsidR="003E169C" w:rsidRPr="00E06A42" w:rsidRDefault="00954FCB" w:rsidP="003E169C">
      <w:pPr>
        <w:tabs>
          <w:tab w:val="left" w:pos="3240"/>
        </w:tabs>
        <w:spacing w:line="280" w:lineRule="atLeast"/>
        <w:ind w:left="1620"/>
      </w:pPr>
      <w:r>
        <w:rPr>
          <w:sz w:val="22"/>
          <w:szCs w:val="22"/>
        </w:rPr>
        <w:t>V</w:t>
      </w:r>
      <w:r w:rsidR="003E169C" w:rsidRPr="00E06A42">
        <w:rPr>
          <w:sz w:val="22"/>
          <w:szCs w:val="22"/>
        </w:rPr>
        <w:t xml:space="preserve">isit our website: </w:t>
      </w:r>
      <w:hyperlink r:id="rId14" w:history="1">
        <w:r w:rsidR="003E169C" w:rsidRPr="00E06A42">
          <w:rPr>
            <w:rStyle w:val="Lienhypertexte"/>
            <w:rFonts w:eastAsia="SimSun"/>
            <w:sz w:val="22"/>
            <w:szCs w:val="22"/>
          </w:rPr>
          <w:t>www.edhec-risk.com</w:t>
        </w:r>
      </w:hyperlink>
    </w:p>
    <w:p w14:paraId="731A5EF8" w14:textId="77777777" w:rsidR="00597412" w:rsidRPr="00E06A42" w:rsidRDefault="00597412" w:rsidP="00FD5C45">
      <w:pPr>
        <w:spacing w:line="360" w:lineRule="auto"/>
        <w:jc w:val="both"/>
        <w:rPr>
          <w:b/>
          <w:bCs/>
          <w:sz w:val="28"/>
          <w:szCs w:val="28"/>
        </w:rPr>
      </w:pPr>
    </w:p>
    <w:p w14:paraId="55BA33F9" w14:textId="77777777" w:rsidR="001C6D75" w:rsidRPr="00E06A42" w:rsidRDefault="001C6D75" w:rsidP="00121FCC">
      <w:pPr>
        <w:spacing w:line="360" w:lineRule="auto"/>
        <w:jc w:val="both"/>
        <w:rPr>
          <w:b/>
          <w:bCs/>
          <w:sz w:val="28"/>
          <w:szCs w:val="28"/>
        </w:rPr>
      </w:pPr>
    </w:p>
    <w:p w14:paraId="6368B63D" w14:textId="77777777" w:rsidR="007A7BCC" w:rsidRPr="00E06A42" w:rsidRDefault="007A7BCC" w:rsidP="00121FCC">
      <w:pPr>
        <w:spacing w:line="360" w:lineRule="auto"/>
        <w:jc w:val="both"/>
        <w:rPr>
          <w:b/>
          <w:bCs/>
          <w:sz w:val="28"/>
          <w:szCs w:val="28"/>
        </w:rPr>
      </w:pPr>
    </w:p>
    <w:p w14:paraId="432439BF" w14:textId="77777777" w:rsidR="002B5E8C" w:rsidRPr="00E06A42" w:rsidRDefault="002B5E8C" w:rsidP="002B5E8C">
      <w:pPr>
        <w:spacing w:line="360" w:lineRule="auto"/>
        <w:jc w:val="both"/>
        <w:rPr>
          <w:b/>
          <w:bCs/>
          <w:sz w:val="28"/>
          <w:szCs w:val="28"/>
        </w:rPr>
      </w:pPr>
      <w:r w:rsidRPr="00E06A42">
        <w:rPr>
          <w:b/>
          <w:bCs/>
          <w:sz w:val="28"/>
          <w:szCs w:val="28"/>
        </w:rPr>
        <w:lastRenderedPageBreak/>
        <w:t>About EDHEC-Risk Institute</w:t>
      </w:r>
    </w:p>
    <w:p w14:paraId="5FC82A54" w14:textId="77777777" w:rsidR="002B5E8C" w:rsidRPr="00E06A42" w:rsidRDefault="002B5E8C" w:rsidP="002B5E8C">
      <w:pPr>
        <w:spacing w:line="360" w:lineRule="auto"/>
        <w:jc w:val="both"/>
        <w:rPr>
          <w:b/>
          <w:bCs/>
          <w:sz w:val="22"/>
          <w:szCs w:val="22"/>
        </w:rPr>
      </w:pPr>
      <w:r w:rsidRPr="00E06A42">
        <w:rPr>
          <w:b/>
          <w:bCs/>
          <w:sz w:val="22"/>
          <w:szCs w:val="22"/>
        </w:rPr>
        <w:t>Academic Roots &amp; Practitioner Reach</w:t>
      </w:r>
    </w:p>
    <w:p w14:paraId="1D0CBF78" w14:textId="77777777" w:rsidR="002B5E8C" w:rsidRPr="00E06A42" w:rsidRDefault="002B5E8C" w:rsidP="002B5E8C">
      <w:pPr>
        <w:spacing w:line="280" w:lineRule="atLeast"/>
        <w:jc w:val="both"/>
        <w:rPr>
          <w:sz w:val="22"/>
          <w:szCs w:val="22"/>
        </w:rPr>
      </w:pPr>
    </w:p>
    <w:p w14:paraId="0D1A281A" w14:textId="0D434439" w:rsidR="002B5E8C" w:rsidRPr="00E06A42" w:rsidRDefault="002B5E8C" w:rsidP="002B5E8C">
      <w:pPr>
        <w:spacing w:line="280" w:lineRule="atLeast"/>
        <w:jc w:val="both"/>
        <w:rPr>
          <w:sz w:val="22"/>
          <w:szCs w:val="22"/>
        </w:rPr>
      </w:pPr>
      <w:r w:rsidRPr="00E06A42">
        <w:rPr>
          <w:sz w:val="22"/>
          <w:szCs w:val="22"/>
        </w:rPr>
        <w:t xml:space="preserve">Since 2001, EDHEC Business School has been pursuing an ambitious policy </w:t>
      </w:r>
      <w:r w:rsidR="00954FCB">
        <w:rPr>
          <w:sz w:val="22"/>
          <w:szCs w:val="22"/>
        </w:rPr>
        <w:t>to produce academic research that is both practical and relevant</w:t>
      </w:r>
      <w:r w:rsidRPr="00E06A42">
        <w:rPr>
          <w:sz w:val="22"/>
          <w:szCs w:val="22"/>
        </w:rPr>
        <w:t>. This policy, known as “Research for Business”</w:t>
      </w:r>
      <w:r w:rsidRPr="00E06A42">
        <w:t xml:space="preserve"> </w:t>
      </w:r>
      <w:r w:rsidRPr="00E06A42">
        <w:rPr>
          <w:sz w:val="22"/>
          <w:szCs w:val="22"/>
        </w:rPr>
        <w:t xml:space="preserve">and now labelled “Make an Impact”, aims to make EDHEC an academic institution of reference for the </w:t>
      </w:r>
      <w:r w:rsidR="001B19FA">
        <w:rPr>
          <w:sz w:val="22"/>
          <w:szCs w:val="22"/>
        </w:rPr>
        <w:t>investment industry</w:t>
      </w:r>
      <w:r w:rsidRPr="00E06A42">
        <w:rPr>
          <w:sz w:val="22"/>
          <w:szCs w:val="22"/>
        </w:rPr>
        <w:t xml:space="preserve"> in a small number of areas in which the school has reached critical mass in terms of expertise and research results. Among these areas, investment management has occupied a privileged position, leading to the creation in 2001 of EDHEC-Risk Institute, which has developed </w:t>
      </w:r>
      <w:proofErr w:type="gramStart"/>
      <w:r w:rsidRPr="00E06A42">
        <w:rPr>
          <w:sz w:val="22"/>
          <w:szCs w:val="22"/>
        </w:rPr>
        <w:t>an</w:t>
      </w:r>
      <w:proofErr w:type="gramEnd"/>
      <w:r w:rsidR="001B19FA">
        <w:rPr>
          <w:sz w:val="22"/>
          <w:szCs w:val="22"/>
        </w:rPr>
        <w:t xml:space="preserve"> far-reaching</w:t>
      </w:r>
      <w:r w:rsidRPr="00E06A42">
        <w:rPr>
          <w:sz w:val="22"/>
          <w:szCs w:val="22"/>
        </w:rPr>
        <w:t xml:space="preserve"> ambitious portfolio of research and educational initiatives in the domain of investment solutions for institutional and individual investors.</w:t>
      </w:r>
    </w:p>
    <w:p w14:paraId="3F812830" w14:textId="77777777" w:rsidR="002B5E8C" w:rsidRPr="00E06A42" w:rsidRDefault="002B5E8C" w:rsidP="002B5E8C">
      <w:pPr>
        <w:spacing w:line="280" w:lineRule="atLeast"/>
        <w:jc w:val="both"/>
        <w:rPr>
          <w:sz w:val="22"/>
          <w:szCs w:val="22"/>
        </w:rPr>
      </w:pPr>
    </w:p>
    <w:p w14:paraId="58EFA2DC" w14:textId="76846741" w:rsidR="002B5E8C" w:rsidRPr="00E06A42" w:rsidRDefault="002B5E8C" w:rsidP="002B5E8C">
      <w:pPr>
        <w:jc w:val="both"/>
        <w:rPr>
          <w:snapToGrid w:val="0"/>
          <w:sz w:val="22"/>
          <w:szCs w:val="22"/>
        </w:rPr>
      </w:pPr>
      <w:r w:rsidRPr="00E06A42">
        <w:rPr>
          <w:sz w:val="22"/>
          <w:szCs w:val="22"/>
        </w:rPr>
        <w:t>This Institute boasts a team of permanent professors, engineers and support staff, a</w:t>
      </w:r>
      <w:r w:rsidR="00954FCB">
        <w:rPr>
          <w:sz w:val="22"/>
          <w:szCs w:val="22"/>
        </w:rPr>
        <w:t xml:space="preserve">s well as </w:t>
      </w:r>
      <w:r w:rsidRPr="00E06A42">
        <w:rPr>
          <w:sz w:val="22"/>
          <w:szCs w:val="22"/>
        </w:rPr>
        <w:t xml:space="preserve">a large number of affiliate professors and research associates from the financial industry among its ranks. EDHEC-Risk Institute is located </w:t>
      </w:r>
      <w:r w:rsidR="00954FCB">
        <w:rPr>
          <w:sz w:val="22"/>
          <w:szCs w:val="22"/>
        </w:rPr>
        <w:t>on</w:t>
      </w:r>
      <w:r w:rsidR="00954FCB" w:rsidRPr="00E06A42">
        <w:rPr>
          <w:sz w:val="22"/>
          <w:szCs w:val="22"/>
        </w:rPr>
        <w:t xml:space="preserve"> </w:t>
      </w:r>
      <w:r w:rsidRPr="00E06A42">
        <w:rPr>
          <w:sz w:val="22"/>
          <w:szCs w:val="22"/>
        </w:rPr>
        <w:t xml:space="preserve">campuses </w:t>
      </w:r>
      <w:r w:rsidRPr="00E06A42">
        <w:rPr>
          <w:snapToGrid w:val="0"/>
          <w:sz w:val="22"/>
          <w:szCs w:val="22"/>
        </w:rPr>
        <w:t>in the City of London (United Kingdom) and Nice (France)</w:t>
      </w:r>
      <w:r w:rsidRPr="00E06A42">
        <w:rPr>
          <w:sz w:val="22"/>
          <w:szCs w:val="22"/>
        </w:rPr>
        <w:t xml:space="preserve">. </w:t>
      </w:r>
      <w:r w:rsidR="00EC79A4">
        <w:rPr>
          <w:sz w:val="22"/>
          <w:szCs w:val="22"/>
        </w:rPr>
        <w:t>Its</w:t>
      </w:r>
      <w:r w:rsidR="00EC79A4">
        <w:rPr>
          <w:snapToGrid w:val="0"/>
          <w:sz w:val="22"/>
          <w:szCs w:val="22"/>
        </w:rPr>
        <w:t xml:space="preserve"> </w:t>
      </w:r>
      <w:r w:rsidRPr="00E06A42">
        <w:rPr>
          <w:snapToGrid w:val="0"/>
          <w:sz w:val="22"/>
          <w:szCs w:val="22"/>
        </w:rPr>
        <w:t xml:space="preserve">philosophy is to validate its work by </w:t>
      </w:r>
      <w:r w:rsidR="001E13C0" w:rsidRPr="00E06A42">
        <w:rPr>
          <w:snapToGrid w:val="0"/>
          <w:sz w:val="22"/>
          <w:szCs w:val="22"/>
        </w:rPr>
        <w:t>publi</w:t>
      </w:r>
      <w:r w:rsidR="001E13C0">
        <w:rPr>
          <w:snapToGrid w:val="0"/>
          <w:sz w:val="22"/>
          <w:szCs w:val="22"/>
        </w:rPr>
        <w:t xml:space="preserve">shing </w:t>
      </w:r>
      <w:r w:rsidRPr="00E06A42">
        <w:rPr>
          <w:snapToGrid w:val="0"/>
          <w:sz w:val="22"/>
          <w:szCs w:val="22"/>
        </w:rPr>
        <w:t>in international academic journals, as well as to make it available to the sector through position papers, published studies and global conferences.</w:t>
      </w:r>
    </w:p>
    <w:p w14:paraId="7C47C190" w14:textId="77777777" w:rsidR="002B5E8C" w:rsidRPr="00E06A42" w:rsidRDefault="002B5E8C" w:rsidP="002B5E8C">
      <w:pPr>
        <w:spacing w:line="280" w:lineRule="atLeast"/>
        <w:jc w:val="both"/>
        <w:rPr>
          <w:sz w:val="22"/>
          <w:szCs w:val="22"/>
        </w:rPr>
      </w:pPr>
    </w:p>
    <w:p w14:paraId="67D9A3E0" w14:textId="289E6771" w:rsidR="002B5E8C" w:rsidRPr="00E06A42" w:rsidRDefault="002B5E8C" w:rsidP="002B5E8C">
      <w:pPr>
        <w:spacing w:line="280" w:lineRule="atLeast"/>
        <w:jc w:val="both"/>
        <w:rPr>
          <w:sz w:val="22"/>
          <w:szCs w:val="22"/>
        </w:rPr>
      </w:pPr>
      <w:r w:rsidRPr="00E06A42">
        <w:rPr>
          <w:sz w:val="22"/>
          <w:szCs w:val="22"/>
        </w:rPr>
        <w:t xml:space="preserve">To ensure the distribution of its research to the </w:t>
      </w:r>
      <w:r w:rsidR="001B19FA">
        <w:rPr>
          <w:sz w:val="22"/>
          <w:szCs w:val="22"/>
        </w:rPr>
        <w:t xml:space="preserve">investment </w:t>
      </w:r>
      <w:r w:rsidRPr="00E06A42">
        <w:rPr>
          <w:sz w:val="22"/>
          <w:szCs w:val="22"/>
        </w:rPr>
        <w:t xml:space="preserve">industry, EDHEC-Risk also provides professionals with access to its website, </w:t>
      </w:r>
      <w:hyperlink r:id="rId15" w:history="1">
        <w:r w:rsidRPr="00E06A42">
          <w:rPr>
            <w:rStyle w:val="Lienhypertexte"/>
            <w:sz w:val="22"/>
            <w:szCs w:val="22"/>
          </w:rPr>
          <w:t>https://risk.edhec.edu</w:t>
        </w:r>
      </w:hyperlink>
      <w:r w:rsidRPr="00E06A42">
        <w:rPr>
          <w:sz w:val="22"/>
          <w:szCs w:val="22"/>
        </w:rPr>
        <w:t xml:space="preserve">, </w:t>
      </w:r>
      <w:r w:rsidR="001E13C0">
        <w:rPr>
          <w:sz w:val="22"/>
          <w:szCs w:val="22"/>
        </w:rPr>
        <w:t xml:space="preserve">which is </w:t>
      </w:r>
      <w:r w:rsidRPr="00E06A42">
        <w:rPr>
          <w:sz w:val="22"/>
          <w:szCs w:val="22"/>
        </w:rPr>
        <w:t xml:space="preserve">devoted to asset and risk management research, with a focus on investment solutions. </w:t>
      </w:r>
      <w:r w:rsidR="001E13C0">
        <w:rPr>
          <w:sz w:val="22"/>
          <w:szCs w:val="22"/>
        </w:rPr>
        <w:t>Finally</w:t>
      </w:r>
      <w:r w:rsidRPr="00E06A42">
        <w:rPr>
          <w:sz w:val="22"/>
          <w:szCs w:val="22"/>
        </w:rPr>
        <w:t xml:space="preserve">, its quarterly newsletter </w:t>
      </w:r>
      <w:proofErr w:type="gramStart"/>
      <w:r w:rsidRPr="00E06A42">
        <w:rPr>
          <w:sz w:val="22"/>
          <w:szCs w:val="22"/>
        </w:rPr>
        <w:t>is distributed</w:t>
      </w:r>
      <w:proofErr w:type="gramEnd"/>
      <w:r w:rsidRPr="00E06A42">
        <w:rPr>
          <w:sz w:val="22"/>
          <w:szCs w:val="22"/>
        </w:rPr>
        <w:t xml:space="preserve"> to over 1</w:t>
      </w:r>
      <w:r w:rsidR="001A43CD" w:rsidRPr="00E06A42">
        <w:rPr>
          <w:sz w:val="22"/>
          <w:szCs w:val="22"/>
        </w:rPr>
        <w:t>0</w:t>
      </w:r>
      <w:r w:rsidRPr="00E06A42">
        <w:rPr>
          <w:sz w:val="22"/>
          <w:szCs w:val="22"/>
        </w:rPr>
        <w:t>0,000 readers.</w:t>
      </w:r>
    </w:p>
    <w:p w14:paraId="2370BE3D" w14:textId="77777777" w:rsidR="002B5E8C" w:rsidRPr="00E06A42" w:rsidRDefault="002B5E8C" w:rsidP="002B5E8C">
      <w:pPr>
        <w:spacing w:line="280" w:lineRule="atLeast"/>
        <w:jc w:val="both"/>
        <w:rPr>
          <w:sz w:val="22"/>
          <w:szCs w:val="22"/>
        </w:rPr>
      </w:pPr>
    </w:p>
    <w:p w14:paraId="373EF949" w14:textId="5BA4094C" w:rsidR="002B5E8C" w:rsidRPr="00E06A42" w:rsidRDefault="002B5E8C" w:rsidP="002B5E8C">
      <w:pPr>
        <w:autoSpaceDE w:val="0"/>
        <w:autoSpaceDN w:val="0"/>
        <w:jc w:val="both"/>
        <w:rPr>
          <w:snapToGrid w:val="0"/>
          <w:sz w:val="22"/>
          <w:szCs w:val="22"/>
        </w:rPr>
      </w:pPr>
      <w:r w:rsidRPr="00E06A42">
        <w:rPr>
          <w:snapToGrid w:val="0"/>
          <w:sz w:val="22"/>
          <w:szCs w:val="22"/>
        </w:rPr>
        <w:t xml:space="preserve">In addition to the EDHEC Alternative Indexes, which </w:t>
      </w:r>
      <w:proofErr w:type="gramStart"/>
      <w:r w:rsidRPr="00E06A42">
        <w:rPr>
          <w:snapToGrid w:val="0"/>
          <w:sz w:val="22"/>
          <w:szCs w:val="22"/>
        </w:rPr>
        <w:t>are used</w:t>
      </w:r>
      <w:proofErr w:type="gramEnd"/>
      <w:r w:rsidRPr="00E06A42">
        <w:rPr>
          <w:snapToGrid w:val="0"/>
          <w:sz w:val="22"/>
          <w:szCs w:val="22"/>
        </w:rPr>
        <w:t xml:space="preserve"> as performance benchmarks for risk analysis by </w:t>
      </w:r>
      <w:r w:rsidR="001E13C0">
        <w:rPr>
          <w:snapToGrid w:val="0"/>
          <w:sz w:val="22"/>
          <w:szCs w:val="22"/>
        </w:rPr>
        <w:t xml:space="preserve">hedge fund </w:t>
      </w:r>
      <w:r w:rsidRPr="00E06A42">
        <w:rPr>
          <w:snapToGrid w:val="0"/>
          <w:sz w:val="22"/>
          <w:szCs w:val="22"/>
        </w:rPr>
        <w:t>investors, and the EDHEC-IEIF Monthly Commercial Property index, which tracks the performance of the French commercial property market through SCPIs, EDHEC-Risk has recently launched a series of new initiatives</w:t>
      </w:r>
      <w:r w:rsidR="001E13C0">
        <w:rPr>
          <w:snapToGrid w:val="0"/>
          <w:sz w:val="22"/>
          <w:szCs w:val="22"/>
        </w:rPr>
        <w:t>:</w:t>
      </w:r>
    </w:p>
    <w:p w14:paraId="05EE382B" w14:textId="392161C2" w:rsidR="007E16E1" w:rsidRPr="00E06A42" w:rsidRDefault="007E16E1" w:rsidP="007E16E1">
      <w:pPr>
        <w:pStyle w:val="Paragraphedeliste"/>
        <w:numPr>
          <w:ilvl w:val="0"/>
          <w:numId w:val="27"/>
        </w:numPr>
        <w:tabs>
          <w:tab w:val="clear" w:pos="709"/>
        </w:tabs>
        <w:autoSpaceDE w:val="0"/>
        <w:autoSpaceDN w:val="0"/>
        <w:spacing w:after="0" w:line="240" w:lineRule="auto"/>
        <w:contextualSpacing w:val="0"/>
        <w:rPr>
          <w:rFonts w:ascii="Times New Roman" w:hAnsi="Times New Roman" w:cs="Times New Roman"/>
          <w:snapToGrid w:val="0"/>
        </w:rPr>
      </w:pPr>
      <w:r w:rsidRPr="00E06A42">
        <w:rPr>
          <w:rFonts w:ascii="Times New Roman" w:hAnsi="Times New Roman" w:cs="Times New Roman"/>
          <w:snapToGrid w:val="0"/>
        </w:rPr>
        <w:t xml:space="preserve">The </w:t>
      </w:r>
      <w:hyperlink r:id="rId16" w:anchor="tab_372" w:history="1">
        <w:r w:rsidRPr="00E06A42">
          <w:rPr>
            <w:rStyle w:val="Lienhypertexte"/>
            <w:rFonts w:ascii="Times New Roman" w:hAnsi="Times New Roman" w:cs="Times New Roman"/>
            <w:snapToGrid w:val="0"/>
          </w:rPr>
          <w:t>EDHEC-Princeton Retirement Goal-Based Investing Index Series</w:t>
        </w:r>
      </w:hyperlink>
      <w:r w:rsidRPr="00E06A42">
        <w:rPr>
          <w:rFonts w:ascii="Times New Roman" w:hAnsi="Times New Roman" w:cs="Times New Roman"/>
          <w:snapToGrid w:val="0"/>
        </w:rPr>
        <w:t>, launched in May 2018, which present</w:t>
      </w:r>
      <w:r w:rsidR="001E13C0">
        <w:rPr>
          <w:rFonts w:ascii="Times New Roman" w:hAnsi="Times New Roman" w:cs="Times New Roman"/>
          <w:snapToGrid w:val="0"/>
        </w:rPr>
        <w:t>s</w:t>
      </w:r>
      <w:r w:rsidRPr="00E06A42">
        <w:rPr>
          <w:rFonts w:ascii="Times New Roman" w:hAnsi="Times New Roman" w:cs="Times New Roman"/>
          <w:snapToGrid w:val="0"/>
        </w:rPr>
        <w:t xml:space="preserve"> asset allocation benchmarks for innovative mass-customised target date solutions for individuals preparing for retirement; </w:t>
      </w:r>
    </w:p>
    <w:p w14:paraId="1EED8A83" w14:textId="426FF202" w:rsidR="007E16E1" w:rsidRPr="00E06A42" w:rsidRDefault="007E16E1" w:rsidP="007E16E1">
      <w:pPr>
        <w:pStyle w:val="Paragraphedeliste"/>
        <w:numPr>
          <w:ilvl w:val="0"/>
          <w:numId w:val="27"/>
        </w:numPr>
        <w:tabs>
          <w:tab w:val="clear" w:pos="709"/>
        </w:tabs>
        <w:autoSpaceDE w:val="0"/>
        <w:autoSpaceDN w:val="0"/>
        <w:spacing w:after="0" w:line="240" w:lineRule="auto"/>
        <w:contextualSpacing w:val="0"/>
        <w:rPr>
          <w:rFonts w:ascii="Times New Roman" w:hAnsi="Times New Roman" w:cs="Times New Roman"/>
          <w:snapToGrid w:val="0"/>
        </w:rPr>
      </w:pPr>
      <w:r w:rsidRPr="00E06A42">
        <w:rPr>
          <w:rFonts w:ascii="Times New Roman" w:hAnsi="Times New Roman" w:cs="Times New Roman"/>
          <w:snapToGrid w:val="0"/>
        </w:rPr>
        <w:t xml:space="preserve">The </w:t>
      </w:r>
      <w:hyperlink r:id="rId17" w:history="1">
        <w:r w:rsidRPr="00E06A42">
          <w:rPr>
            <w:rStyle w:val="Lienhypertexte"/>
            <w:rFonts w:ascii="Times New Roman" w:hAnsi="Times New Roman" w:cs="Times New Roman"/>
            <w:snapToGrid w:val="0"/>
          </w:rPr>
          <w:t>EDHEC Bond Risk Premium Monitor</w:t>
        </w:r>
      </w:hyperlink>
      <w:r w:rsidRPr="00E06A42">
        <w:rPr>
          <w:rFonts w:ascii="Times New Roman" w:hAnsi="Times New Roman" w:cs="Times New Roman"/>
          <w:snapToGrid w:val="0"/>
        </w:rPr>
        <w:t xml:space="preserve">, </w:t>
      </w:r>
      <w:r w:rsidR="001E13C0">
        <w:rPr>
          <w:rFonts w:ascii="Times New Roman" w:hAnsi="Times New Roman" w:cs="Times New Roman"/>
          <w:snapToGrid w:val="0"/>
        </w:rPr>
        <w:t xml:space="preserve">designed </w:t>
      </w:r>
      <w:r w:rsidRPr="00E06A42">
        <w:rPr>
          <w:rFonts w:ascii="Times New Roman" w:hAnsi="Times New Roman" w:cs="Times New Roman"/>
          <w:snapToGrid w:val="0"/>
        </w:rPr>
        <w:t xml:space="preserve">to offer investment and academic communities a tool </w:t>
      </w:r>
      <w:r w:rsidR="001E13C0">
        <w:rPr>
          <w:rFonts w:ascii="Times New Roman" w:hAnsi="Times New Roman" w:cs="Times New Roman"/>
          <w:snapToGrid w:val="0"/>
        </w:rPr>
        <w:t xml:space="preserve">with which </w:t>
      </w:r>
      <w:r w:rsidRPr="00E06A42">
        <w:rPr>
          <w:rFonts w:ascii="Times New Roman" w:hAnsi="Times New Roman" w:cs="Times New Roman"/>
          <w:snapToGrid w:val="0"/>
        </w:rPr>
        <w:t>to quantify and analyse the risk premium associated with Government bonds;</w:t>
      </w:r>
    </w:p>
    <w:p w14:paraId="19E7829B" w14:textId="12758B5C" w:rsidR="007E16E1" w:rsidRPr="00E06A42" w:rsidRDefault="007E16E1" w:rsidP="007E16E1">
      <w:pPr>
        <w:pStyle w:val="Paragraphedeliste"/>
        <w:numPr>
          <w:ilvl w:val="0"/>
          <w:numId w:val="27"/>
        </w:numPr>
        <w:tabs>
          <w:tab w:val="clear" w:pos="709"/>
        </w:tabs>
        <w:autoSpaceDE w:val="0"/>
        <w:autoSpaceDN w:val="0"/>
        <w:spacing w:after="0" w:line="240" w:lineRule="auto"/>
        <w:contextualSpacing w:val="0"/>
        <w:rPr>
          <w:rFonts w:ascii="Times New Roman" w:hAnsi="Times New Roman" w:cs="Times New Roman"/>
          <w:snapToGrid w:val="0"/>
        </w:rPr>
      </w:pPr>
      <w:r w:rsidRPr="00E06A42">
        <w:rPr>
          <w:rFonts w:ascii="Times New Roman" w:hAnsi="Times New Roman" w:cs="Times New Roman"/>
          <w:snapToGrid w:val="0"/>
        </w:rPr>
        <w:t xml:space="preserve">The </w:t>
      </w:r>
      <w:hyperlink r:id="rId18" w:history="1">
        <w:r w:rsidRPr="00E06A42">
          <w:rPr>
            <w:rStyle w:val="Lienhypertexte"/>
            <w:rFonts w:ascii="Times New Roman" w:hAnsi="Times New Roman" w:cs="Times New Roman"/>
            <w:snapToGrid w:val="0"/>
          </w:rPr>
          <w:t>EDHEC-Risk Investment Solutions (Serious) Game</w:t>
        </w:r>
      </w:hyperlink>
      <w:r w:rsidRPr="00E06A42">
        <w:rPr>
          <w:rFonts w:ascii="Times New Roman" w:hAnsi="Times New Roman" w:cs="Times New Roman"/>
          <w:snapToGrid w:val="0"/>
        </w:rPr>
        <w:t xml:space="preserve">, </w:t>
      </w:r>
      <w:r w:rsidR="001E13C0">
        <w:rPr>
          <w:rFonts w:ascii="Times New Roman" w:hAnsi="Times New Roman" w:cs="Times New Roman"/>
          <w:snapToGrid w:val="0"/>
        </w:rPr>
        <w:t xml:space="preserve">intended </w:t>
      </w:r>
      <w:r w:rsidRPr="00E06A42">
        <w:rPr>
          <w:rFonts w:ascii="Times New Roman" w:hAnsi="Times New Roman" w:cs="Times New Roman"/>
          <w:snapToGrid w:val="0"/>
        </w:rPr>
        <w:t>to facilitate engagement with graduate students or investment professionals enrolled on one of EDHEC-</w:t>
      </w:r>
      <w:proofErr w:type="gramStart"/>
      <w:r w:rsidRPr="00E06A42">
        <w:rPr>
          <w:rFonts w:ascii="Times New Roman" w:hAnsi="Times New Roman" w:cs="Times New Roman"/>
          <w:snapToGrid w:val="0"/>
        </w:rPr>
        <w:t>Risk’s</w:t>
      </w:r>
      <w:proofErr w:type="gramEnd"/>
      <w:r w:rsidRPr="00E06A42">
        <w:rPr>
          <w:rFonts w:ascii="Times New Roman" w:hAnsi="Times New Roman" w:cs="Times New Roman"/>
          <w:snapToGrid w:val="0"/>
        </w:rPr>
        <w:t xml:space="preserve"> various campus-based, blended or fully-digital educational programmes.</w:t>
      </w:r>
    </w:p>
    <w:p w14:paraId="618A44EE" w14:textId="77777777" w:rsidR="002B5E8C" w:rsidRPr="00E06A42" w:rsidRDefault="002B5E8C" w:rsidP="002B5E8C">
      <w:pPr>
        <w:spacing w:line="280" w:lineRule="atLeast"/>
        <w:jc w:val="both"/>
        <w:rPr>
          <w:sz w:val="22"/>
          <w:szCs w:val="22"/>
        </w:rPr>
      </w:pPr>
    </w:p>
    <w:p w14:paraId="10834963" w14:textId="77777777" w:rsidR="002B5E8C" w:rsidRPr="00E06A42" w:rsidRDefault="002B5E8C" w:rsidP="002B5E8C">
      <w:pPr>
        <w:spacing w:line="280" w:lineRule="atLeast"/>
        <w:jc w:val="both"/>
        <w:rPr>
          <w:sz w:val="22"/>
          <w:szCs w:val="22"/>
        </w:rPr>
      </w:pPr>
      <w:r w:rsidRPr="00E06A42">
        <w:rPr>
          <w:sz w:val="22"/>
          <w:szCs w:val="22"/>
        </w:rPr>
        <w:t>EDHEC-Risk Institute also has highly significant executive education activities for professionals, in partnership with prestigious academic partners.</w:t>
      </w:r>
    </w:p>
    <w:p w14:paraId="17A31629" w14:textId="77777777" w:rsidR="002B5E8C" w:rsidRPr="00E06A42" w:rsidRDefault="002B5E8C" w:rsidP="002B5E8C">
      <w:pPr>
        <w:spacing w:line="280" w:lineRule="atLeast"/>
        <w:jc w:val="both"/>
        <w:rPr>
          <w:sz w:val="22"/>
          <w:szCs w:val="22"/>
        </w:rPr>
      </w:pPr>
    </w:p>
    <w:p w14:paraId="6695E966" w14:textId="77777777" w:rsidR="002B5E8C" w:rsidRPr="00E06A42" w:rsidRDefault="002B5E8C" w:rsidP="002B5E8C">
      <w:pPr>
        <w:jc w:val="both"/>
        <w:rPr>
          <w:sz w:val="22"/>
          <w:szCs w:val="22"/>
        </w:rPr>
      </w:pPr>
      <w:r w:rsidRPr="00E06A42">
        <w:rPr>
          <w:sz w:val="22"/>
          <w:szCs w:val="22"/>
        </w:rPr>
        <w:t xml:space="preserve">In 2012, EDHEC-Risk Institute signed two strategic partnership agreements. The first was with the Operations Research and Financial Engineering department of Princeton University to set up a joint research programme in the area of investment solutions for institutions and individuals. The second was with Yale School of Management to set up joint certified executive training courses in North America and Europe in the area of risk and investment management. </w:t>
      </w:r>
    </w:p>
    <w:p w14:paraId="2027EB56" w14:textId="77777777" w:rsidR="002B5E8C" w:rsidRPr="00E06A42" w:rsidRDefault="002B5E8C" w:rsidP="002B5E8C">
      <w:pPr>
        <w:jc w:val="both"/>
        <w:rPr>
          <w:sz w:val="22"/>
          <w:szCs w:val="22"/>
        </w:rPr>
      </w:pPr>
    </w:p>
    <w:p w14:paraId="367C10B1" w14:textId="7FC3152F" w:rsidR="002B5E8C" w:rsidRPr="00E06A42" w:rsidRDefault="002B5E8C" w:rsidP="002B5E8C">
      <w:pPr>
        <w:jc w:val="both"/>
        <w:rPr>
          <w:sz w:val="22"/>
          <w:szCs w:val="22"/>
        </w:rPr>
      </w:pPr>
      <w:r w:rsidRPr="00E06A42">
        <w:rPr>
          <w:sz w:val="22"/>
          <w:szCs w:val="22"/>
        </w:rPr>
        <w:t xml:space="preserve">As part of its policy of transferring </w:t>
      </w:r>
      <w:proofErr w:type="gramStart"/>
      <w:r w:rsidRPr="00E06A42">
        <w:rPr>
          <w:sz w:val="22"/>
          <w:szCs w:val="22"/>
        </w:rPr>
        <w:t>know-how</w:t>
      </w:r>
      <w:proofErr w:type="gramEnd"/>
      <w:r w:rsidRPr="00E06A42">
        <w:rPr>
          <w:sz w:val="22"/>
          <w:szCs w:val="22"/>
        </w:rPr>
        <w:t xml:space="preserve"> to the </w:t>
      </w:r>
      <w:r w:rsidR="001B19FA">
        <w:rPr>
          <w:sz w:val="22"/>
          <w:szCs w:val="22"/>
        </w:rPr>
        <w:t xml:space="preserve">investment </w:t>
      </w:r>
      <w:r w:rsidRPr="00E06A42">
        <w:rPr>
          <w:sz w:val="22"/>
          <w:szCs w:val="22"/>
        </w:rPr>
        <w:t xml:space="preserve">industry, in 2013 EDHEC-Risk Institute also set up ERI Scientific Beta, which is an original initiative that aims to favour the adoption of the latest advances in smart beta design and implementation by the whole investment industry. Its academic </w:t>
      </w:r>
      <w:r w:rsidR="001E13C0">
        <w:rPr>
          <w:sz w:val="22"/>
          <w:szCs w:val="22"/>
        </w:rPr>
        <w:t>roots</w:t>
      </w:r>
      <w:r w:rsidR="001E13C0" w:rsidRPr="00E06A42">
        <w:rPr>
          <w:sz w:val="22"/>
          <w:szCs w:val="22"/>
        </w:rPr>
        <w:t xml:space="preserve"> </w:t>
      </w:r>
      <w:r w:rsidRPr="00E06A42">
        <w:rPr>
          <w:sz w:val="22"/>
          <w:szCs w:val="22"/>
        </w:rPr>
        <w:t xml:space="preserve">provide the foundation for its strategy: offer, in the best economic conditions possible, the smart beta solutions that </w:t>
      </w:r>
      <w:proofErr w:type="gramStart"/>
      <w:r w:rsidRPr="00E06A42">
        <w:rPr>
          <w:sz w:val="22"/>
          <w:szCs w:val="22"/>
        </w:rPr>
        <w:t>are most proven</w:t>
      </w:r>
      <w:proofErr w:type="gramEnd"/>
      <w:r w:rsidRPr="00E06A42">
        <w:rPr>
          <w:sz w:val="22"/>
          <w:szCs w:val="22"/>
        </w:rPr>
        <w:t xml:space="preserve"> scientifically with full transparency </w:t>
      </w:r>
      <w:r w:rsidR="001E13C0">
        <w:rPr>
          <w:sz w:val="22"/>
          <w:szCs w:val="22"/>
        </w:rPr>
        <w:t>of</w:t>
      </w:r>
      <w:r w:rsidR="001E13C0" w:rsidRPr="00E06A42">
        <w:rPr>
          <w:sz w:val="22"/>
          <w:szCs w:val="22"/>
        </w:rPr>
        <w:t xml:space="preserve"> </w:t>
      </w:r>
      <w:r w:rsidRPr="00E06A42">
        <w:rPr>
          <w:sz w:val="22"/>
          <w:szCs w:val="22"/>
        </w:rPr>
        <w:t xml:space="preserve">both methods and associated risks. </w:t>
      </w:r>
    </w:p>
    <w:p w14:paraId="509936F5" w14:textId="77777777" w:rsidR="002B5E8C" w:rsidRPr="00E06A42" w:rsidRDefault="002B5E8C" w:rsidP="002B5E8C">
      <w:pPr>
        <w:jc w:val="both"/>
        <w:rPr>
          <w:sz w:val="22"/>
          <w:szCs w:val="22"/>
        </w:rPr>
      </w:pPr>
    </w:p>
    <w:p w14:paraId="20DE3AFC" w14:textId="77777777" w:rsidR="002B5E8C" w:rsidRPr="00E06A42" w:rsidRDefault="002B5E8C" w:rsidP="002B5E8C">
      <w:pPr>
        <w:jc w:val="both"/>
        <w:rPr>
          <w:sz w:val="22"/>
          <w:szCs w:val="22"/>
        </w:rPr>
      </w:pPr>
      <w:r w:rsidRPr="00E06A42">
        <w:rPr>
          <w:sz w:val="22"/>
          <w:szCs w:val="22"/>
        </w:rPr>
        <w:lastRenderedPageBreak/>
        <w:t>EDHEC-Risk Institute also contributed to the 2016 launch of EDHEC Infrastructure Institute (</w:t>
      </w:r>
      <w:proofErr w:type="spellStart"/>
      <w:r w:rsidRPr="00E06A42">
        <w:rPr>
          <w:sz w:val="22"/>
          <w:szCs w:val="22"/>
        </w:rPr>
        <w:t>EDHEC</w:t>
      </w:r>
      <w:r w:rsidRPr="00E06A42">
        <w:rPr>
          <w:i/>
          <w:sz w:val="22"/>
          <w:szCs w:val="22"/>
        </w:rPr>
        <w:t>infra</w:t>
      </w:r>
      <w:proofErr w:type="spellEnd"/>
      <w:r w:rsidRPr="00E06A42">
        <w:rPr>
          <w:sz w:val="22"/>
          <w:szCs w:val="22"/>
        </w:rPr>
        <w:t xml:space="preserve">), a spin-off dedicated to benchmarking private infrastructure investments. </w:t>
      </w:r>
      <w:proofErr w:type="spellStart"/>
      <w:r w:rsidRPr="00E06A42">
        <w:rPr>
          <w:sz w:val="22"/>
          <w:szCs w:val="22"/>
        </w:rPr>
        <w:t>EDHEC</w:t>
      </w:r>
      <w:r w:rsidRPr="00E06A42">
        <w:rPr>
          <w:i/>
          <w:sz w:val="22"/>
          <w:szCs w:val="22"/>
        </w:rPr>
        <w:t>infra</w:t>
      </w:r>
      <w:proofErr w:type="spellEnd"/>
      <w:r w:rsidRPr="00E06A42">
        <w:rPr>
          <w:sz w:val="22"/>
          <w:szCs w:val="22"/>
        </w:rPr>
        <w:t xml:space="preserve"> </w:t>
      </w:r>
      <w:proofErr w:type="gramStart"/>
      <w:r w:rsidRPr="00E06A42">
        <w:rPr>
          <w:sz w:val="22"/>
          <w:szCs w:val="22"/>
        </w:rPr>
        <w:t>was created</w:t>
      </w:r>
      <w:proofErr w:type="gramEnd"/>
      <w:r w:rsidRPr="00E06A42">
        <w:rPr>
          <w:sz w:val="22"/>
          <w:szCs w:val="22"/>
        </w:rPr>
        <w:t xml:space="preserve"> to address the profound knowledge gap faced by infrastructure investors by collecting and standardising private investment and cash flow data and running state-of-the-art asset pricing and risk models to create the performance benchmarks that are needed for asset allocation, prudential regulation and the design of infrastructure investment solutions.</w:t>
      </w:r>
    </w:p>
    <w:p w14:paraId="08899132" w14:textId="77777777" w:rsidR="002B5E8C" w:rsidRPr="00E06A42" w:rsidRDefault="002B5E8C" w:rsidP="002B5E8C">
      <w:pPr>
        <w:spacing w:line="280" w:lineRule="atLeast"/>
        <w:jc w:val="both"/>
        <w:rPr>
          <w:sz w:val="22"/>
          <w:szCs w:val="22"/>
        </w:rPr>
      </w:pPr>
    </w:p>
    <w:p w14:paraId="2093CEC2" w14:textId="77777777" w:rsidR="002B5E8C" w:rsidRPr="00E06A42" w:rsidRDefault="002B5E8C" w:rsidP="002B5E8C">
      <w:pPr>
        <w:jc w:val="both"/>
        <w:rPr>
          <w:color w:val="000000" w:themeColor="text1"/>
          <w:sz w:val="22"/>
          <w:szCs w:val="22"/>
        </w:rPr>
      </w:pPr>
    </w:p>
    <w:p w14:paraId="616FA6AA" w14:textId="689CF88D" w:rsidR="002B5E8C" w:rsidRPr="00E06A42" w:rsidRDefault="002B5E8C" w:rsidP="002B5E8C">
      <w:pPr>
        <w:autoSpaceDE w:val="0"/>
        <w:autoSpaceDN w:val="0"/>
        <w:adjustRightInd w:val="0"/>
        <w:rPr>
          <w:b/>
          <w:bCs/>
          <w:sz w:val="16"/>
          <w:szCs w:val="16"/>
          <w:lang w:eastAsia="zh-CN"/>
        </w:rPr>
      </w:pPr>
      <w:r w:rsidRPr="00E06A42">
        <w:rPr>
          <w:b/>
          <w:bCs/>
          <w:sz w:val="16"/>
          <w:szCs w:val="16"/>
          <w:lang w:eastAsia="zh-CN"/>
        </w:rPr>
        <w:t xml:space="preserve">                     </w:t>
      </w:r>
      <w:r w:rsidRPr="00E06A42">
        <w:rPr>
          <w:b/>
          <w:bCs/>
          <w:sz w:val="16"/>
          <w:szCs w:val="16"/>
          <w:lang w:eastAsia="zh-CN"/>
        </w:rPr>
        <w:tab/>
        <w:t>EDHEC-Risk Institute</w:t>
      </w:r>
      <w:r w:rsidRPr="00E06A42">
        <w:rPr>
          <w:b/>
          <w:bCs/>
          <w:sz w:val="16"/>
          <w:szCs w:val="16"/>
          <w:lang w:eastAsia="zh-CN"/>
        </w:rPr>
        <w:tab/>
      </w:r>
      <w:r w:rsidRPr="00E06A42">
        <w:rPr>
          <w:b/>
          <w:bCs/>
          <w:sz w:val="16"/>
          <w:szCs w:val="16"/>
          <w:lang w:eastAsia="zh-CN"/>
        </w:rPr>
        <w:tab/>
      </w:r>
      <w:r w:rsidRPr="00E06A42">
        <w:rPr>
          <w:b/>
          <w:bCs/>
          <w:sz w:val="16"/>
          <w:szCs w:val="16"/>
          <w:lang w:eastAsia="zh-CN"/>
        </w:rPr>
        <w:tab/>
      </w:r>
      <w:r w:rsidRPr="00E06A42">
        <w:rPr>
          <w:b/>
          <w:bCs/>
          <w:sz w:val="16"/>
          <w:szCs w:val="16"/>
          <w:lang w:eastAsia="zh-CN"/>
        </w:rPr>
        <w:tab/>
      </w:r>
      <w:r w:rsidRPr="00E06A42">
        <w:rPr>
          <w:b/>
          <w:bCs/>
          <w:sz w:val="16"/>
          <w:szCs w:val="16"/>
          <w:lang w:eastAsia="zh-CN"/>
        </w:rPr>
        <w:tab/>
        <w:t>EDHEC</w:t>
      </w:r>
      <w:r w:rsidR="001E13C0">
        <w:rPr>
          <w:b/>
          <w:bCs/>
          <w:sz w:val="16"/>
          <w:szCs w:val="16"/>
          <w:lang w:eastAsia="zh-CN"/>
        </w:rPr>
        <w:t>-</w:t>
      </w:r>
      <w:r w:rsidRPr="00E06A42">
        <w:rPr>
          <w:b/>
          <w:bCs/>
          <w:sz w:val="16"/>
          <w:szCs w:val="16"/>
          <w:lang w:eastAsia="zh-CN"/>
        </w:rPr>
        <w:t>Risk Institute</w:t>
      </w:r>
      <w:r w:rsidR="001E13C0">
        <w:rPr>
          <w:b/>
          <w:bCs/>
          <w:sz w:val="16"/>
          <w:szCs w:val="16"/>
          <w:lang w:eastAsia="zh-CN"/>
        </w:rPr>
        <w:t xml:space="preserve"> – </w:t>
      </w:r>
      <w:r w:rsidRPr="00E06A42">
        <w:rPr>
          <w:b/>
          <w:bCs/>
          <w:sz w:val="16"/>
          <w:szCs w:val="16"/>
          <w:lang w:eastAsia="zh-CN"/>
        </w:rPr>
        <w:t>Europe</w:t>
      </w:r>
    </w:p>
    <w:p w14:paraId="1359BED2" w14:textId="77777777" w:rsidR="002B5E8C" w:rsidRPr="005D6D33" w:rsidRDefault="002B5E8C" w:rsidP="002B5E8C">
      <w:pPr>
        <w:autoSpaceDE w:val="0"/>
        <w:autoSpaceDN w:val="0"/>
        <w:adjustRightInd w:val="0"/>
        <w:ind w:left="708" w:firstLine="708"/>
        <w:rPr>
          <w:sz w:val="16"/>
          <w:szCs w:val="16"/>
          <w:lang w:eastAsia="zh-CN"/>
        </w:rPr>
      </w:pPr>
      <w:r w:rsidRPr="005D6D33">
        <w:rPr>
          <w:sz w:val="16"/>
          <w:szCs w:val="16"/>
          <w:lang w:eastAsia="zh-CN"/>
        </w:rPr>
        <w:t xml:space="preserve">393 promenade des </w:t>
      </w:r>
      <w:proofErr w:type="spellStart"/>
      <w:r w:rsidRPr="005D6D33">
        <w:rPr>
          <w:sz w:val="16"/>
          <w:szCs w:val="16"/>
          <w:lang w:eastAsia="zh-CN"/>
        </w:rPr>
        <w:t>Anglais</w:t>
      </w:r>
      <w:proofErr w:type="spellEnd"/>
      <w:r w:rsidRPr="005D6D33">
        <w:rPr>
          <w:sz w:val="16"/>
          <w:szCs w:val="16"/>
          <w:lang w:eastAsia="zh-CN"/>
        </w:rPr>
        <w:tab/>
      </w:r>
      <w:r w:rsidRPr="005D6D33">
        <w:rPr>
          <w:sz w:val="16"/>
          <w:szCs w:val="16"/>
          <w:lang w:eastAsia="zh-CN"/>
        </w:rPr>
        <w:tab/>
      </w:r>
      <w:r w:rsidRPr="005D6D33">
        <w:rPr>
          <w:sz w:val="16"/>
          <w:szCs w:val="16"/>
          <w:lang w:eastAsia="zh-CN"/>
        </w:rPr>
        <w:tab/>
      </w:r>
      <w:r w:rsidRPr="005D6D33">
        <w:rPr>
          <w:sz w:val="16"/>
          <w:szCs w:val="16"/>
          <w:lang w:eastAsia="zh-CN"/>
        </w:rPr>
        <w:tab/>
      </w:r>
      <w:r w:rsidRPr="005D6D33">
        <w:rPr>
          <w:sz w:val="16"/>
          <w:szCs w:val="16"/>
          <w:lang w:eastAsia="zh-CN"/>
        </w:rPr>
        <w:tab/>
        <w:t>10 Fleet Place, Ludgate</w:t>
      </w:r>
    </w:p>
    <w:p w14:paraId="74FA49D0" w14:textId="00EB72C5" w:rsidR="002B5E8C" w:rsidRPr="00E06A42" w:rsidRDefault="002B5E8C" w:rsidP="002B5E8C">
      <w:pPr>
        <w:autoSpaceDE w:val="0"/>
        <w:autoSpaceDN w:val="0"/>
        <w:adjustRightInd w:val="0"/>
        <w:ind w:left="708" w:firstLine="708"/>
        <w:rPr>
          <w:sz w:val="16"/>
          <w:szCs w:val="16"/>
          <w:lang w:eastAsia="zh-CN"/>
        </w:rPr>
      </w:pPr>
      <w:r w:rsidRPr="00E06A42">
        <w:rPr>
          <w:sz w:val="16"/>
          <w:szCs w:val="16"/>
          <w:lang w:eastAsia="zh-CN"/>
        </w:rPr>
        <w:t xml:space="preserve">BP 3116 </w:t>
      </w:r>
      <w:r w:rsidR="001E13C0">
        <w:rPr>
          <w:sz w:val="16"/>
          <w:szCs w:val="16"/>
          <w:lang w:eastAsia="zh-CN"/>
        </w:rPr>
        <w:t>–</w:t>
      </w:r>
      <w:r w:rsidR="001E13C0" w:rsidRPr="00E06A42">
        <w:rPr>
          <w:sz w:val="16"/>
          <w:szCs w:val="16"/>
          <w:lang w:eastAsia="zh-CN"/>
        </w:rPr>
        <w:t xml:space="preserve"> </w:t>
      </w:r>
      <w:r w:rsidRPr="00E06A42">
        <w:rPr>
          <w:sz w:val="16"/>
          <w:szCs w:val="16"/>
          <w:lang w:eastAsia="zh-CN"/>
        </w:rPr>
        <w:t xml:space="preserve">06202 Nice </w:t>
      </w:r>
      <w:proofErr w:type="spellStart"/>
      <w:r w:rsidRPr="00E06A42">
        <w:rPr>
          <w:sz w:val="16"/>
          <w:szCs w:val="16"/>
          <w:lang w:eastAsia="zh-CN"/>
        </w:rPr>
        <w:t>Cedex</w:t>
      </w:r>
      <w:proofErr w:type="spellEnd"/>
      <w:r w:rsidRPr="00E06A42">
        <w:rPr>
          <w:sz w:val="16"/>
          <w:szCs w:val="16"/>
          <w:lang w:eastAsia="zh-CN"/>
        </w:rPr>
        <w:t xml:space="preserve"> 3</w:t>
      </w:r>
      <w:r w:rsidRPr="00E06A42">
        <w:rPr>
          <w:sz w:val="16"/>
          <w:szCs w:val="16"/>
          <w:lang w:eastAsia="zh-CN"/>
        </w:rPr>
        <w:tab/>
      </w:r>
      <w:r w:rsidRPr="00E06A42">
        <w:rPr>
          <w:sz w:val="16"/>
          <w:szCs w:val="16"/>
          <w:lang w:eastAsia="zh-CN"/>
        </w:rPr>
        <w:tab/>
      </w:r>
      <w:r w:rsidRPr="00E06A42">
        <w:rPr>
          <w:sz w:val="16"/>
          <w:szCs w:val="16"/>
          <w:lang w:eastAsia="zh-CN"/>
        </w:rPr>
        <w:tab/>
      </w:r>
      <w:r w:rsidRPr="00E06A42">
        <w:rPr>
          <w:sz w:val="16"/>
          <w:szCs w:val="16"/>
          <w:lang w:eastAsia="zh-CN"/>
        </w:rPr>
        <w:tab/>
      </w:r>
      <w:r w:rsidRPr="00E06A42">
        <w:rPr>
          <w:sz w:val="16"/>
          <w:szCs w:val="16"/>
          <w:lang w:eastAsia="zh-CN"/>
        </w:rPr>
        <w:tab/>
        <w:t>London EC4M 7RB</w:t>
      </w:r>
      <w:r w:rsidRPr="00E06A42">
        <w:rPr>
          <w:sz w:val="16"/>
          <w:szCs w:val="16"/>
          <w:lang w:eastAsia="zh-CN"/>
        </w:rPr>
        <w:tab/>
      </w:r>
      <w:r w:rsidRPr="00E06A42">
        <w:rPr>
          <w:sz w:val="16"/>
          <w:szCs w:val="16"/>
          <w:lang w:eastAsia="zh-CN"/>
        </w:rPr>
        <w:tab/>
      </w:r>
    </w:p>
    <w:p w14:paraId="40EEB45D" w14:textId="77777777" w:rsidR="002B5E8C" w:rsidRPr="00E06A42" w:rsidRDefault="002B5E8C" w:rsidP="002B5E8C">
      <w:pPr>
        <w:autoSpaceDE w:val="0"/>
        <w:autoSpaceDN w:val="0"/>
        <w:adjustRightInd w:val="0"/>
        <w:ind w:left="708" w:firstLine="708"/>
        <w:rPr>
          <w:sz w:val="16"/>
          <w:szCs w:val="16"/>
          <w:lang w:eastAsia="zh-CN"/>
        </w:rPr>
      </w:pPr>
      <w:r w:rsidRPr="00E06A42">
        <w:rPr>
          <w:sz w:val="16"/>
          <w:szCs w:val="16"/>
          <w:lang w:eastAsia="zh-CN"/>
        </w:rPr>
        <w:t>France</w:t>
      </w:r>
      <w:r w:rsidRPr="00E06A42">
        <w:rPr>
          <w:sz w:val="16"/>
          <w:szCs w:val="16"/>
          <w:lang w:eastAsia="zh-CN"/>
        </w:rPr>
        <w:tab/>
      </w:r>
      <w:r w:rsidRPr="00E06A42">
        <w:rPr>
          <w:sz w:val="16"/>
          <w:szCs w:val="16"/>
          <w:lang w:eastAsia="zh-CN"/>
        </w:rPr>
        <w:tab/>
      </w:r>
      <w:r w:rsidRPr="00E06A42">
        <w:rPr>
          <w:sz w:val="16"/>
          <w:szCs w:val="16"/>
          <w:lang w:eastAsia="zh-CN"/>
        </w:rPr>
        <w:tab/>
      </w:r>
      <w:r w:rsidRPr="00E06A42">
        <w:rPr>
          <w:sz w:val="16"/>
          <w:szCs w:val="16"/>
          <w:lang w:eastAsia="zh-CN"/>
        </w:rPr>
        <w:tab/>
      </w:r>
      <w:r w:rsidRPr="00E06A42">
        <w:rPr>
          <w:sz w:val="16"/>
          <w:szCs w:val="16"/>
          <w:lang w:eastAsia="zh-CN"/>
        </w:rPr>
        <w:tab/>
      </w:r>
      <w:r w:rsidRPr="00E06A42">
        <w:rPr>
          <w:sz w:val="16"/>
          <w:szCs w:val="16"/>
          <w:lang w:eastAsia="zh-CN"/>
        </w:rPr>
        <w:tab/>
      </w:r>
      <w:r w:rsidRPr="00E06A42">
        <w:rPr>
          <w:sz w:val="16"/>
          <w:szCs w:val="16"/>
          <w:lang w:eastAsia="zh-CN"/>
        </w:rPr>
        <w:tab/>
        <w:t>United Kingdom</w:t>
      </w:r>
      <w:r w:rsidRPr="00E06A42">
        <w:rPr>
          <w:sz w:val="16"/>
          <w:szCs w:val="16"/>
          <w:lang w:eastAsia="zh-CN"/>
        </w:rPr>
        <w:tab/>
      </w:r>
      <w:r w:rsidRPr="00E06A42">
        <w:rPr>
          <w:sz w:val="16"/>
          <w:szCs w:val="16"/>
          <w:lang w:eastAsia="zh-CN"/>
        </w:rPr>
        <w:tab/>
      </w:r>
    </w:p>
    <w:p w14:paraId="208A1ABF" w14:textId="77777777" w:rsidR="002B5E8C" w:rsidRPr="00E06A42" w:rsidRDefault="002B5E8C" w:rsidP="002B5E8C">
      <w:pPr>
        <w:autoSpaceDE w:val="0"/>
        <w:autoSpaceDN w:val="0"/>
        <w:adjustRightInd w:val="0"/>
        <w:ind w:left="708" w:firstLine="708"/>
        <w:rPr>
          <w:sz w:val="16"/>
          <w:szCs w:val="16"/>
          <w:lang w:val="fr-FR" w:eastAsia="zh-CN"/>
        </w:rPr>
      </w:pPr>
      <w:r w:rsidRPr="00E06A42">
        <w:rPr>
          <w:sz w:val="16"/>
          <w:szCs w:val="16"/>
          <w:lang w:val="fr-FR" w:eastAsia="zh-CN"/>
        </w:rPr>
        <w:t>Tel: +33 493 187 887</w:t>
      </w:r>
      <w:r w:rsidRPr="00E06A42">
        <w:rPr>
          <w:sz w:val="16"/>
          <w:szCs w:val="16"/>
          <w:lang w:val="fr-FR" w:eastAsia="zh-CN"/>
        </w:rPr>
        <w:tab/>
      </w:r>
      <w:r w:rsidRPr="00E06A42">
        <w:rPr>
          <w:sz w:val="16"/>
          <w:szCs w:val="16"/>
          <w:lang w:val="fr-FR" w:eastAsia="zh-CN"/>
        </w:rPr>
        <w:tab/>
      </w:r>
      <w:r w:rsidRPr="00E06A42">
        <w:rPr>
          <w:sz w:val="16"/>
          <w:szCs w:val="16"/>
          <w:lang w:val="fr-FR" w:eastAsia="zh-CN"/>
        </w:rPr>
        <w:tab/>
      </w:r>
      <w:r w:rsidRPr="00E06A42">
        <w:rPr>
          <w:sz w:val="16"/>
          <w:szCs w:val="16"/>
          <w:lang w:val="fr-FR" w:eastAsia="zh-CN"/>
        </w:rPr>
        <w:tab/>
      </w:r>
      <w:r w:rsidRPr="00E06A42">
        <w:rPr>
          <w:sz w:val="16"/>
          <w:szCs w:val="16"/>
          <w:lang w:val="fr-FR" w:eastAsia="zh-CN"/>
        </w:rPr>
        <w:tab/>
      </w:r>
      <w:r w:rsidRPr="00E06A42">
        <w:rPr>
          <w:sz w:val="16"/>
          <w:szCs w:val="16"/>
          <w:lang w:val="fr-FR" w:eastAsia="zh-CN"/>
        </w:rPr>
        <w:tab/>
        <w:t>Tel: + 44 207 332 5600</w:t>
      </w:r>
      <w:r w:rsidRPr="00E06A42">
        <w:rPr>
          <w:sz w:val="16"/>
          <w:szCs w:val="16"/>
          <w:lang w:val="fr-FR" w:eastAsia="zh-CN"/>
        </w:rPr>
        <w:tab/>
      </w:r>
    </w:p>
    <w:p w14:paraId="6D30C562" w14:textId="77777777" w:rsidR="002B5E8C" w:rsidRPr="00E06A42" w:rsidRDefault="002B5E8C" w:rsidP="002B5E8C">
      <w:pPr>
        <w:autoSpaceDE w:val="0"/>
        <w:autoSpaceDN w:val="0"/>
        <w:adjustRightInd w:val="0"/>
        <w:ind w:left="708" w:firstLine="708"/>
        <w:rPr>
          <w:sz w:val="16"/>
          <w:szCs w:val="16"/>
          <w:lang w:val="fr-FR" w:eastAsia="zh-CN"/>
        </w:rPr>
      </w:pPr>
      <w:r w:rsidRPr="00E06A42">
        <w:rPr>
          <w:sz w:val="16"/>
          <w:szCs w:val="16"/>
          <w:lang w:val="fr-FR" w:eastAsia="zh-CN"/>
        </w:rPr>
        <w:tab/>
      </w:r>
    </w:p>
    <w:p w14:paraId="0311430E" w14:textId="77777777" w:rsidR="002B5E8C" w:rsidRPr="00E06A42" w:rsidRDefault="002B5E8C" w:rsidP="002B5E8C">
      <w:pPr>
        <w:jc w:val="both"/>
        <w:rPr>
          <w:color w:val="000000" w:themeColor="text1"/>
          <w:sz w:val="22"/>
          <w:szCs w:val="22"/>
          <w:lang w:val="fr-FR"/>
        </w:rPr>
      </w:pPr>
    </w:p>
    <w:p w14:paraId="48462CB4" w14:textId="77777777" w:rsidR="00F0237F" w:rsidRPr="00E06A42" w:rsidRDefault="00F0237F" w:rsidP="00F0237F">
      <w:pPr>
        <w:spacing w:line="360" w:lineRule="auto"/>
        <w:jc w:val="both"/>
        <w:rPr>
          <w:b/>
          <w:bCs/>
          <w:sz w:val="28"/>
          <w:szCs w:val="28"/>
        </w:rPr>
      </w:pPr>
    </w:p>
    <w:p w14:paraId="472DCD35" w14:textId="77777777" w:rsidR="00F0237F" w:rsidRPr="00E06A42" w:rsidRDefault="00F0237F" w:rsidP="00F0237F">
      <w:pPr>
        <w:spacing w:line="360" w:lineRule="auto"/>
        <w:jc w:val="both"/>
        <w:rPr>
          <w:b/>
          <w:bCs/>
          <w:sz w:val="28"/>
          <w:szCs w:val="28"/>
        </w:rPr>
      </w:pPr>
      <w:r w:rsidRPr="00E06A42">
        <w:rPr>
          <w:b/>
          <w:bCs/>
          <w:sz w:val="28"/>
          <w:szCs w:val="28"/>
        </w:rPr>
        <w:t xml:space="preserve">About </w:t>
      </w:r>
      <w:proofErr w:type="spellStart"/>
      <w:r w:rsidRPr="00E06A42">
        <w:rPr>
          <w:b/>
          <w:bCs/>
          <w:sz w:val="28"/>
          <w:szCs w:val="28"/>
        </w:rPr>
        <w:t>Amundi</w:t>
      </w:r>
      <w:proofErr w:type="spellEnd"/>
      <w:r w:rsidRPr="00E06A42">
        <w:rPr>
          <w:b/>
          <w:bCs/>
          <w:sz w:val="28"/>
          <w:szCs w:val="28"/>
        </w:rPr>
        <w:t xml:space="preserve"> ETF, Indexing &amp; Smart Beta</w:t>
      </w:r>
    </w:p>
    <w:p w14:paraId="4326569A" w14:textId="77777777" w:rsidR="00DA5DB3" w:rsidRPr="00E06A42" w:rsidRDefault="00DA5DB3" w:rsidP="00DA5DB3">
      <w:pPr>
        <w:autoSpaceDE w:val="0"/>
        <w:autoSpaceDN w:val="0"/>
        <w:rPr>
          <w:color w:val="000000" w:themeColor="text1"/>
          <w:sz w:val="22"/>
          <w:szCs w:val="22"/>
          <w:lang w:val="fr-FR"/>
        </w:rPr>
      </w:pPr>
    </w:p>
    <w:p w14:paraId="30D51E73" w14:textId="77777777" w:rsidR="00F0237F" w:rsidRPr="00E06A42" w:rsidRDefault="00F0237F" w:rsidP="00F0237F">
      <w:pPr>
        <w:rPr>
          <w:color w:val="000000" w:themeColor="text1"/>
          <w:sz w:val="22"/>
          <w:szCs w:val="22"/>
        </w:rPr>
      </w:pPr>
      <w:proofErr w:type="gramStart"/>
      <w:r w:rsidRPr="00E06A42">
        <w:rPr>
          <w:color w:val="000000" w:themeColor="text1"/>
          <w:sz w:val="22"/>
          <w:szCs w:val="22"/>
          <w:lang w:val="en-US" w:eastAsia="en-GB"/>
        </w:rPr>
        <w:t>With more than €114 billion</w:t>
      </w:r>
      <w:r w:rsidRPr="00E06A42">
        <w:rPr>
          <w:color w:val="000000" w:themeColor="text1"/>
          <w:sz w:val="22"/>
          <w:szCs w:val="22"/>
          <w:vertAlign w:val="superscript"/>
          <w:lang w:val="en-US" w:eastAsia="en-GB"/>
        </w:rPr>
        <w:t>1</w:t>
      </w:r>
      <w:r w:rsidRPr="00E06A42">
        <w:rPr>
          <w:color w:val="000000" w:themeColor="text1"/>
          <w:sz w:val="22"/>
          <w:szCs w:val="22"/>
          <w:lang w:val="en-US" w:eastAsia="en-GB"/>
        </w:rPr>
        <w:t xml:space="preserve"> in assets under management, </w:t>
      </w:r>
      <w:proofErr w:type="spellStart"/>
      <w:r w:rsidRPr="00E06A42">
        <w:rPr>
          <w:color w:val="000000" w:themeColor="text1"/>
          <w:sz w:val="22"/>
          <w:szCs w:val="22"/>
          <w:lang w:val="en-US" w:eastAsia="en-GB"/>
        </w:rPr>
        <w:t>Amundi</w:t>
      </w:r>
      <w:proofErr w:type="spellEnd"/>
      <w:r w:rsidRPr="00E06A42">
        <w:rPr>
          <w:color w:val="000000" w:themeColor="text1"/>
          <w:sz w:val="22"/>
          <w:szCs w:val="22"/>
          <w:lang w:val="en-US" w:eastAsia="en-GB"/>
        </w:rPr>
        <w:t xml:space="preserve"> ETF, Indexing and Smart Beta is one of </w:t>
      </w:r>
      <w:proofErr w:type="spellStart"/>
      <w:r w:rsidRPr="00E06A42">
        <w:rPr>
          <w:color w:val="000000" w:themeColor="text1"/>
          <w:sz w:val="22"/>
          <w:szCs w:val="22"/>
          <w:lang w:val="en-US" w:eastAsia="en-GB"/>
        </w:rPr>
        <w:t>Amundi’s</w:t>
      </w:r>
      <w:proofErr w:type="spellEnd"/>
      <w:r w:rsidRPr="00E06A42">
        <w:rPr>
          <w:color w:val="000000" w:themeColor="text1"/>
          <w:sz w:val="22"/>
          <w:szCs w:val="22"/>
          <w:lang w:val="en-US" w:eastAsia="en-GB"/>
        </w:rPr>
        <w:t xml:space="preserve"> strategic business areas and is a key growth driver for the Group.</w:t>
      </w:r>
      <w:proofErr w:type="gramEnd"/>
    </w:p>
    <w:p w14:paraId="7AFDE6B5" w14:textId="77777777" w:rsidR="00F0237F" w:rsidRPr="00E06A42" w:rsidRDefault="00F0237F" w:rsidP="00F0237F">
      <w:pPr>
        <w:rPr>
          <w:color w:val="000000" w:themeColor="text1"/>
          <w:sz w:val="22"/>
          <w:szCs w:val="22"/>
        </w:rPr>
      </w:pPr>
      <w:r w:rsidRPr="00E06A42">
        <w:rPr>
          <w:color w:val="000000" w:themeColor="text1"/>
          <w:sz w:val="22"/>
          <w:szCs w:val="22"/>
          <w:lang w:val="en-US" w:eastAsia="en-GB"/>
        </w:rPr>
        <w:t> </w:t>
      </w:r>
    </w:p>
    <w:p w14:paraId="7988B226" w14:textId="5696CAAC" w:rsidR="00F0237F" w:rsidRPr="00E06A42" w:rsidRDefault="00F0237F" w:rsidP="00F0237F">
      <w:pPr>
        <w:jc w:val="both"/>
        <w:rPr>
          <w:color w:val="000000" w:themeColor="text1"/>
          <w:sz w:val="22"/>
          <w:szCs w:val="22"/>
        </w:rPr>
      </w:pPr>
      <w:proofErr w:type="spellStart"/>
      <w:r w:rsidRPr="00E06A42">
        <w:rPr>
          <w:color w:val="000000" w:themeColor="text1"/>
          <w:sz w:val="22"/>
          <w:szCs w:val="22"/>
          <w:lang w:val="en-US" w:eastAsia="en-GB"/>
        </w:rPr>
        <w:t>Amundi</w:t>
      </w:r>
      <w:proofErr w:type="spellEnd"/>
      <w:r w:rsidRPr="00E06A42">
        <w:rPr>
          <w:color w:val="000000" w:themeColor="text1"/>
          <w:sz w:val="22"/>
          <w:szCs w:val="22"/>
          <w:lang w:val="en-US" w:eastAsia="en-GB"/>
        </w:rPr>
        <w:t xml:space="preserve"> ETF, Indexing and Smart Beta business line provides investors </w:t>
      </w:r>
      <w:r w:rsidR="001E13C0">
        <w:rPr>
          <w:color w:val="000000" w:themeColor="text1"/>
          <w:sz w:val="22"/>
          <w:szCs w:val="22"/>
          <w:lang w:val="en-US" w:eastAsia="en-GB"/>
        </w:rPr>
        <w:t>–</w:t>
      </w:r>
      <w:r w:rsidR="001E13C0" w:rsidRPr="00E06A42">
        <w:rPr>
          <w:color w:val="000000" w:themeColor="text1"/>
          <w:sz w:val="22"/>
          <w:szCs w:val="22"/>
          <w:lang w:val="en-US" w:eastAsia="en-GB"/>
        </w:rPr>
        <w:t xml:space="preserve"> </w:t>
      </w:r>
      <w:r w:rsidRPr="00E06A42">
        <w:rPr>
          <w:color w:val="000000" w:themeColor="text1"/>
          <w:sz w:val="22"/>
          <w:szCs w:val="22"/>
          <w:lang w:val="en-US" w:eastAsia="en-GB"/>
        </w:rPr>
        <w:t xml:space="preserve">whether institutional or distributors </w:t>
      </w:r>
      <w:r w:rsidR="001E13C0">
        <w:rPr>
          <w:color w:val="000000" w:themeColor="text1"/>
          <w:sz w:val="22"/>
          <w:szCs w:val="22"/>
          <w:lang w:val="en-US" w:eastAsia="en-GB"/>
        </w:rPr>
        <w:t>–</w:t>
      </w:r>
      <w:r w:rsidR="001E13C0" w:rsidRPr="00E06A42">
        <w:rPr>
          <w:color w:val="000000" w:themeColor="text1"/>
          <w:sz w:val="22"/>
          <w:szCs w:val="22"/>
          <w:lang w:val="en-US" w:eastAsia="en-GB"/>
        </w:rPr>
        <w:t xml:space="preserve"> </w:t>
      </w:r>
      <w:r w:rsidRPr="00E06A42">
        <w:rPr>
          <w:color w:val="000000" w:themeColor="text1"/>
          <w:sz w:val="22"/>
          <w:szCs w:val="22"/>
          <w:lang w:val="en-US" w:eastAsia="en-GB"/>
        </w:rPr>
        <w:t xml:space="preserve">with robust, innovative, and cost-efficient solutions, leveraging </w:t>
      </w:r>
      <w:proofErr w:type="spellStart"/>
      <w:r w:rsidRPr="00E06A42">
        <w:rPr>
          <w:color w:val="000000" w:themeColor="text1"/>
          <w:sz w:val="22"/>
          <w:szCs w:val="22"/>
          <w:lang w:val="en-US" w:eastAsia="en-GB"/>
        </w:rPr>
        <w:t>Amundi</w:t>
      </w:r>
      <w:proofErr w:type="spellEnd"/>
      <w:r w:rsidRPr="00E06A42">
        <w:rPr>
          <w:color w:val="000000" w:themeColor="text1"/>
          <w:sz w:val="22"/>
          <w:szCs w:val="22"/>
          <w:lang w:val="en-US" w:eastAsia="en-GB"/>
        </w:rPr>
        <w:t xml:space="preserve"> Group’s scale and large resources. The platform also offers investors fully customized solutions (ESG, Low Carbon, specific exclusions, risk constraints, etc.).</w:t>
      </w:r>
      <w:r w:rsidRPr="00E06A42">
        <w:rPr>
          <w:color w:val="000000" w:themeColor="text1"/>
          <w:sz w:val="22"/>
          <w:szCs w:val="22"/>
          <w:lang w:val="en-US"/>
        </w:rPr>
        <w:t xml:space="preserve"> </w:t>
      </w:r>
    </w:p>
    <w:p w14:paraId="0C275A83" w14:textId="77777777" w:rsidR="00F0237F" w:rsidRPr="00E06A42" w:rsidRDefault="00F0237F" w:rsidP="00F0237F">
      <w:pPr>
        <w:rPr>
          <w:color w:val="000000" w:themeColor="text1"/>
          <w:sz w:val="22"/>
          <w:szCs w:val="22"/>
        </w:rPr>
      </w:pPr>
      <w:r w:rsidRPr="00E06A42">
        <w:rPr>
          <w:color w:val="000000" w:themeColor="text1"/>
          <w:sz w:val="22"/>
          <w:szCs w:val="22"/>
          <w:lang w:val="en-US" w:eastAsia="en-GB"/>
        </w:rPr>
        <w:t> </w:t>
      </w:r>
    </w:p>
    <w:p w14:paraId="5CC80D0F" w14:textId="68F81BC0" w:rsidR="00F0237F" w:rsidRPr="00E06A42" w:rsidRDefault="00F0237F" w:rsidP="00F0237F">
      <w:pPr>
        <w:jc w:val="both"/>
        <w:rPr>
          <w:color w:val="000000" w:themeColor="text1"/>
          <w:sz w:val="22"/>
          <w:szCs w:val="22"/>
        </w:rPr>
      </w:pPr>
      <w:r w:rsidRPr="00E06A42">
        <w:rPr>
          <w:color w:val="000000" w:themeColor="text1"/>
          <w:sz w:val="22"/>
          <w:szCs w:val="22"/>
          <w:lang w:val="en-US" w:eastAsia="en-GB"/>
        </w:rPr>
        <w:t xml:space="preserve">With over 30 years of benchmark construction and replication expertise, </w:t>
      </w:r>
      <w:proofErr w:type="spellStart"/>
      <w:r w:rsidRPr="00E06A42">
        <w:rPr>
          <w:color w:val="000000" w:themeColor="text1"/>
          <w:sz w:val="22"/>
          <w:szCs w:val="22"/>
          <w:lang w:val="en-US" w:eastAsia="en-GB"/>
        </w:rPr>
        <w:t>Amundi</w:t>
      </w:r>
      <w:proofErr w:type="spellEnd"/>
      <w:r w:rsidRPr="00E06A42">
        <w:rPr>
          <w:color w:val="000000" w:themeColor="text1"/>
          <w:sz w:val="22"/>
          <w:szCs w:val="22"/>
          <w:lang w:val="en-US" w:eastAsia="en-GB"/>
        </w:rPr>
        <w:t xml:space="preserve"> is a trusted name in ETF &amp; Index management among the world’s largest institutions. The team is also recognized for its ability to develop Smart Beta &amp; Factor Investing solutions, with more than </w:t>
      </w:r>
      <w:r w:rsidR="001E13C0">
        <w:rPr>
          <w:color w:val="000000" w:themeColor="text1"/>
          <w:sz w:val="22"/>
          <w:szCs w:val="22"/>
          <w:lang w:val="en-US" w:eastAsia="en-GB"/>
        </w:rPr>
        <w:t xml:space="preserve">a </w:t>
      </w:r>
      <w:r w:rsidRPr="00E06A42">
        <w:rPr>
          <w:color w:val="000000" w:themeColor="text1"/>
          <w:sz w:val="22"/>
          <w:szCs w:val="22"/>
          <w:lang w:val="en-US" w:eastAsia="en-GB"/>
        </w:rPr>
        <w:t xml:space="preserve">10-year </w:t>
      </w:r>
      <w:proofErr w:type="gramStart"/>
      <w:r w:rsidRPr="00E06A42">
        <w:rPr>
          <w:color w:val="000000" w:themeColor="text1"/>
          <w:sz w:val="22"/>
          <w:szCs w:val="22"/>
          <w:lang w:val="en-US" w:eastAsia="en-GB"/>
        </w:rPr>
        <w:t>track</w:t>
      </w:r>
      <w:r w:rsidR="001E13C0">
        <w:rPr>
          <w:color w:val="000000" w:themeColor="text1"/>
          <w:sz w:val="22"/>
          <w:szCs w:val="22"/>
          <w:lang w:val="en-US" w:eastAsia="en-GB"/>
        </w:rPr>
        <w:t xml:space="preserve"> </w:t>
      </w:r>
      <w:r w:rsidRPr="00E06A42">
        <w:rPr>
          <w:color w:val="000000" w:themeColor="text1"/>
          <w:sz w:val="22"/>
          <w:szCs w:val="22"/>
          <w:lang w:val="en-US" w:eastAsia="en-GB"/>
        </w:rPr>
        <w:t>record</w:t>
      </w:r>
      <w:proofErr w:type="gramEnd"/>
      <w:r w:rsidRPr="00E06A42">
        <w:rPr>
          <w:color w:val="000000" w:themeColor="text1"/>
          <w:sz w:val="22"/>
          <w:szCs w:val="22"/>
          <w:lang w:val="en-US" w:eastAsia="en-GB"/>
        </w:rPr>
        <w:t>.</w:t>
      </w:r>
    </w:p>
    <w:p w14:paraId="01A9DE81" w14:textId="77777777" w:rsidR="00F0237F" w:rsidRPr="00E06A42" w:rsidRDefault="00F0237F" w:rsidP="00F0237F">
      <w:pPr>
        <w:jc w:val="both"/>
        <w:rPr>
          <w:color w:val="000000" w:themeColor="text1"/>
          <w:sz w:val="22"/>
          <w:szCs w:val="22"/>
        </w:rPr>
      </w:pPr>
      <w:r w:rsidRPr="00E06A42">
        <w:rPr>
          <w:color w:val="000000" w:themeColor="text1"/>
          <w:sz w:val="22"/>
          <w:szCs w:val="22"/>
          <w:lang w:val="en-US" w:eastAsia="en-GB"/>
        </w:rPr>
        <w:t> </w:t>
      </w:r>
    </w:p>
    <w:p w14:paraId="6CC9BD79" w14:textId="77777777" w:rsidR="00F0237F" w:rsidRPr="00E06A42" w:rsidRDefault="00F0237F" w:rsidP="00F0237F">
      <w:pPr>
        <w:autoSpaceDE w:val="0"/>
        <w:autoSpaceDN w:val="0"/>
        <w:spacing w:before="40" w:after="40" w:line="240" w:lineRule="atLeast"/>
        <w:jc w:val="both"/>
        <w:rPr>
          <w:color w:val="000000" w:themeColor="text1"/>
        </w:rPr>
      </w:pPr>
      <w:proofErr w:type="gramStart"/>
      <w:r w:rsidRPr="00E06A42">
        <w:rPr>
          <w:color w:val="000000" w:themeColor="text1"/>
          <w:sz w:val="20"/>
          <w:szCs w:val="20"/>
          <w:lang w:val="en-US"/>
        </w:rPr>
        <w:t xml:space="preserve">1- All figures and data are provided by </w:t>
      </w:r>
      <w:proofErr w:type="spellStart"/>
      <w:r w:rsidRPr="00E06A42">
        <w:rPr>
          <w:color w:val="000000" w:themeColor="text1"/>
          <w:sz w:val="20"/>
          <w:szCs w:val="20"/>
          <w:lang w:val="en-US"/>
        </w:rPr>
        <w:t>Amundi</w:t>
      </w:r>
      <w:proofErr w:type="spellEnd"/>
      <w:r w:rsidRPr="00E06A42">
        <w:rPr>
          <w:color w:val="000000" w:themeColor="text1"/>
          <w:sz w:val="20"/>
          <w:szCs w:val="20"/>
          <w:lang w:val="en-US"/>
        </w:rPr>
        <w:t xml:space="preserve"> ETF, Indexing &amp; Smart Beta at end June 2019</w:t>
      </w:r>
      <w:proofErr w:type="gramEnd"/>
    </w:p>
    <w:p w14:paraId="1276B728" w14:textId="77777777" w:rsidR="00F0237F" w:rsidRPr="005D6D33" w:rsidRDefault="00F0237F" w:rsidP="008746BB">
      <w:pPr>
        <w:rPr>
          <w:sz w:val="22"/>
          <w:szCs w:val="22"/>
        </w:rPr>
      </w:pPr>
    </w:p>
    <w:sectPr w:rsidR="00F0237F" w:rsidRPr="005D6D33" w:rsidSect="00426901">
      <w:pgSz w:w="11906" w:h="16838"/>
      <w:pgMar w:top="993" w:right="1418" w:bottom="1135" w:left="1418"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EDB02" w14:textId="77777777" w:rsidR="008468CB" w:rsidRDefault="008468CB">
      <w:r>
        <w:separator/>
      </w:r>
    </w:p>
  </w:endnote>
  <w:endnote w:type="continuationSeparator" w:id="0">
    <w:p w14:paraId="121ABD50" w14:textId="77777777" w:rsidR="008468CB" w:rsidRDefault="0084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PCL6)">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T">
    <w:altName w:val="Lucida Sans Unico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5DC39" w14:textId="77777777" w:rsidR="008468CB" w:rsidRDefault="008468CB">
      <w:r>
        <w:separator/>
      </w:r>
    </w:p>
  </w:footnote>
  <w:footnote w:type="continuationSeparator" w:id="0">
    <w:p w14:paraId="545971ED" w14:textId="77777777" w:rsidR="008468CB" w:rsidRDefault="008468CB">
      <w:r>
        <w:continuationSeparator/>
      </w:r>
    </w:p>
  </w:footnote>
  <w:footnote w:id="1">
    <w:p w14:paraId="2BE6CF93" w14:textId="77777777" w:rsidR="006B63B1" w:rsidRPr="00CC1456" w:rsidRDefault="006B63B1">
      <w:pPr>
        <w:pStyle w:val="Notedebasdepage"/>
      </w:pPr>
      <w:r w:rsidRPr="00CC1456">
        <w:rPr>
          <w:rStyle w:val="Appelnotedebasdep"/>
        </w:rPr>
        <w:footnoteRef/>
      </w:r>
      <w:r w:rsidRPr="00CC1456">
        <w:t xml:space="preserve"> </w:t>
      </w:r>
      <w:r w:rsidR="00F147F4">
        <w:t>A</w:t>
      </w:r>
      <w:r w:rsidRPr="00CC1456">
        <w:rPr>
          <w:lang w:eastAsia="de-DE"/>
        </w:rPr>
        <w:t xml:space="preserve"> comprehensive survey of </w:t>
      </w:r>
      <w:r w:rsidR="00842C53">
        <w:rPr>
          <w:lang w:eastAsia="de-DE"/>
        </w:rPr>
        <w:t xml:space="preserve">182 </w:t>
      </w:r>
      <w:r w:rsidRPr="00CC1456">
        <w:rPr>
          <w:lang w:eastAsia="de-DE"/>
        </w:rPr>
        <w:t>European ETF and Smart Beta investors</w:t>
      </w:r>
      <w:r w:rsidR="00F147F4">
        <w:rPr>
          <w:lang w:eastAsia="de-D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386A0A8"/>
    <w:lvl w:ilvl="0">
      <w:numFmt w:val="bullet"/>
      <w:lvlText w:val="*"/>
      <w:lvlJc w:val="left"/>
    </w:lvl>
  </w:abstractNum>
  <w:abstractNum w:abstractNumId="1" w15:restartNumberingAfterBreak="0">
    <w:nsid w:val="0133398C"/>
    <w:multiLevelType w:val="hybridMultilevel"/>
    <w:tmpl w:val="183E6D18"/>
    <w:lvl w:ilvl="0" w:tplc="710447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E766AE"/>
    <w:multiLevelType w:val="multilevel"/>
    <w:tmpl w:val="8A5425A0"/>
    <w:lvl w:ilvl="0">
      <w:start w:val="1"/>
      <w:numFmt w:val="decimal"/>
      <w:lvlText w:val="%1."/>
      <w:lvlJc w:val="left"/>
      <w:pPr>
        <w:ind w:left="720" w:hanging="360"/>
      </w:pPr>
      <w:rPr>
        <w:rFonts w:hint="default"/>
      </w:rPr>
    </w:lvl>
    <w:lvl w:ilvl="1">
      <w:start w:val="1"/>
      <w:numFmt w:val="decimal"/>
      <w:isLgl/>
      <w:lvlText w:val="%1.%2."/>
      <w:lvlJc w:val="left"/>
      <w:pPr>
        <w:tabs>
          <w:tab w:val="num" w:pos="1077"/>
        </w:tabs>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CB001A"/>
    <w:multiLevelType w:val="hybridMultilevel"/>
    <w:tmpl w:val="8508EF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091385F"/>
    <w:multiLevelType w:val="hybridMultilevel"/>
    <w:tmpl w:val="DF9E55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A172148"/>
    <w:multiLevelType w:val="multilevel"/>
    <w:tmpl w:val="E8FA3E7C"/>
    <w:lvl w:ilvl="0">
      <w:start w:val="1"/>
      <w:numFmt w:val="bullet"/>
      <w:lvlText w:val=""/>
      <w:lvlJc w:val="left"/>
      <w:pPr>
        <w:tabs>
          <w:tab w:val="num" w:pos="510"/>
        </w:tabs>
        <w:ind w:left="510" w:hanging="226"/>
      </w:pPr>
      <w:rPr>
        <w:rFonts w:ascii="Symbol" w:hAnsi="Symbol"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C6751A9"/>
    <w:multiLevelType w:val="hybridMultilevel"/>
    <w:tmpl w:val="F4E6C79E"/>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0384093"/>
    <w:multiLevelType w:val="hybridMultilevel"/>
    <w:tmpl w:val="F1FE62C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2136CE3"/>
    <w:multiLevelType w:val="hybridMultilevel"/>
    <w:tmpl w:val="0B36517E"/>
    <w:lvl w:ilvl="0" w:tplc="28C45BC0">
      <w:start w:val="1"/>
      <w:numFmt w:val="bullet"/>
      <w:lvlText w:val=""/>
      <w:lvlJc w:val="left"/>
      <w:pPr>
        <w:tabs>
          <w:tab w:val="num" w:pos="510"/>
        </w:tabs>
        <w:ind w:left="510" w:hanging="226"/>
      </w:pPr>
      <w:rPr>
        <w:rFonts w:ascii="Symbol" w:hAnsi="Symbol" w:hint="default"/>
        <w:b w:val="0"/>
        <w:i w:val="0"/>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6648DC"/>
    <w:multiLevelType w:val="hybridMultilevel"/>
    <w:tmpl w:val="A120B4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4D1358"/>
    <w:multiLevelType w:val="hybridMultilevel"/>
    <w:tmpl w:val="8FE01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7A5237"/>
    <w:multiLevelType w:val="hybridMultilevel"/>
    <w:tmpl w:val="4C7215E4"/>
    <w:lvl w:ilvl="0" w:tplc="FFFFFFFF">
      <w:start w:val="1"/>
      <w:numFmt w:val="bullet"/>
      <w:pStyle w:val="Bulleted"/>
      <w:lvlText w:val=""/>
      <w:lvlJc w:val="left"/>
      <w:pPr>
        <w:tabs>
          <w:tab w:val="num" w:pos="284"/>
        </w:tabs>
        <w:ind w:left="284" w:hanging="284"/>
      </w:pPr>
      <w:rPr>
        <w:rFonts w:ascii="Wingdings" w:hAnsi="Wingdings" w:hint="default"/>
        <w:color w:val="auto"/>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F872F2"/>
    <w:multiLevelType w:val="hybridMultilevel"/>
    <w:tmpl w:val="27C28578"/>
    <w:lvl w:ilvl="0" w:tplc="4AAACB8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2701AA"/>
    <w:multiLevelType w:val="hybridMultilevel"/>
    <w:tmpl w:val="0F08E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89094D"/>
    <w:multiLevelType w:val="multilevel"/>
    <w:tmpl w:val="0694B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372173"/>
    <w:multiLevelType w:val="hybridMultilevel"/>
    <w:tmpl w:val="6C740B30"/>
    <w:lvl w:ilvl="0" w:tplc="0F463AC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3F2444"/>
    <w:multiLevelType w:val="hybridMultilevel"/>
    <w:tmpl w:val="FF24A0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F01D6A"/>
    <w:multiLevelType w:val="hybridMultilevel"/>
    <w:tmpl w:val="4FA290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E7B401D"/>
    <w:multiLevelType w:val="hybridMultilevel"/>
    <w:tmpl w:val="96665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39111D"/>
    <w:multiLevelType w:val="hybridMultilevel"/>
    <w:tmpl w:val="CA501492"/>
    <w:lvl w:ilvl="0" w:tplc="2A5A488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48865EC"/>
    <w:multiLevelType w:val="hybridMultilevel"/>
    <w:tmpl w:val="A986E7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6D748E"/>
    <w:multiLevelType w:val="hybridMultilevel"/>
    <w:tmpl w:val="5456D6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330411"/>
    <w:multiLevelType w:val="hybridMultilevel"/>
    <w:tmpl w:val="419C743A"/>
    <w:lvl w:ilvl="0" w:tplc="4CC220BC">
      <w:start w:val="1"/>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4DC94CA1"/>
    <w:multiLevelType w:val="hybridMultilevel"/>
    <w:tmpl w:val="033C8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EB7C3A"/>
    <w:multiLevelType w:val="hybridMultilevel"/>
    <w:tmpl w:val="95CC62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DE1A1C"/>
    <w:multiLevelType w:val="hybridMultilevel"/>
    <w:tmpl w:val="C5ECA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691D36"/>
    <w:multiLevelType w:val="hybridMultilevel"/>
    <w:tmpl w:val="C50006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5C921ADB"/>
    <w:multiLevelType w:val="hybridMultilevel"/>
    <w:tmpl w:val="FE469222"/>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450853"/>
    <w:multiLevelType w:val="hybridMultilevel"/>
    <w:tmpl w:val="F8F46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FD06F7"/>
    <w:multiLevelType w:val="hybridMultilevel"/>
    <w:tmpl w:val="CC2A03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8"/>
  </w:num>
  <w:num w:numId="3">
    <w:abstractNumId w:val="5"/>
  </w:num>
  <w:num w:numId="4">
    <w:abstractNumId w:val="15"/>
  </w:num>
  <w:num w:numId="5">
    <w:abstractNumId w:val="27"/>
  </w:num>
  <w:num w:numId="6">
    <w:abstractNumId w:val="18"/>
  </w:num>
  <w:num w:numId="7">
    <w:abstractNumId w:val="29"/>
  </w:num>
  <w:num w:numId="8">
    <w:abstractNumId w:val="19"/>
  </w:num>
  <w:num w:numId="9">
    <w:abstractNumId w:val="17"/>
  </w:num>
  <w:num w:numId="10">
    <w:abstractNumId w:val="10"/>
  </w:num>
  <w:num w:numId="11">
    <w:abstractNumId w:val="1"/>
  </w:num>
  <w:num w:numId="12">
    <w:abstractNumId w:val="25"/>
  </w:num>
  <w:num w:numId="13">
    <w:abstractNumId w:val="0"/>
    <w:lvlOverride w:ilvl="0">
      <w:lvl w:ilvl="0">
        <w:numFmt w:val="bullet"/>
        <w:lvlText w:val=""/>
        <w:legacy w:legacy="1" w:legacySpace="0" w:legacyIndent="0"/>
        <w:lvlJc w:val="left"/>
        <w:rPr>
          <w:rFonts w:ascii="Wingdings" w:hAnsi="Wingdings" w:hint="default"/>
        </w:rPr>
      </w:lvl>
    </w:lvlOverride>
  </w:num>
  <w:num w:numId="14">
    <w:abstractNumId w:val="24"/>
  </w:num>
  <w:num w:numId="15">
    <w:abstractNumId w:val="7"/>
  </w:num>
  <w:num w:numId="16">
    <w:abstractNumId w:val="12"/>
  </w:num>
  <w:num w:numId="17">
    <w:abstractNumId w:val="4"/>
  </w:num>
  <w:num w:numId="18">
    <w:abstractNumId w:val="22"/>
  </w:num>
  <w:num w:numId="19">
    <w:abstractNumId w:val="23"/>
  </w:num>
  <w:num w:numId="20">
    <w:abstractNumId w:val="20"/>
  </w:num>
  <w:num w:numId="21">
    <w:abstractNumId w:val="9"/>
  </w:num>
  <w:num w:numId="22">
    <w:abstractNumId w:val="6"/>
  </w:num>
  <w:num w:numId="23">
    <w:abstractNumId w:val="16"/>
  </w:num>
  <w:num w:numId="24">
    <w:abstractNumId w:val="3"/>
  </w:num>
  <w:num w:numId="25">
    <w:abstractNumId w:val="13"/>
  </w:num>
  <w:num w:numId="26">
    <w:abstractNumId w:val="28"/>
  </w:num>
  <w:num w:numId="27">
    <w:abstractNumId w:val="26"/>
  </w:num>
  <w:num w:numId="28">
    <w:abstractNumId w:val="2"/>
  </w:num>
  <w:num w:numId="29">
    <w:abstractNumId w:val="14"/>
  </w:num>
  <w:num w:numId="3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F0"/>
    <w:rsid w:val="000003F9"/>
    <w:rsid w:val="000055EB"/>
    <w:rsid w:val="00006D79"/>
    <w:rsid w:val="000070DF"/>
    <w:rsid w:val="00015EC6"/>
    <w:rsid w:val="000210A5"/>
    <w:rsid w:val="00023DEF"/>
    <w:rsid w:val="000273F0"/>
    <w:rsid w:val="000300CC"/>
    <w:rsid w:val="00031786"/>
    <w:rsid w:val="0003189A"/>
    <w:rsid w:val="00033ED4"/>
    <w:rsid w:val="00034366"/>
    <w:rsid w:val="00034CB4"/>
    <w:rsid w:val="00035D5B"/>
    <w:rsid w:val="00037390"/>
    <w:rsid w:val="00043833"/>
    <w:rsid w:val="00063123"/>
    <w:rsid w:val="00071E7E"/>
    <w:rsid w:val="00075A5B"/>
    <w:rsid w:val="00075C4A"/>
    <w:rsid w:val="0008253E"/>
    <w:rsid w:val="000867E0"/>
    <w:rsid w:val="00087BE7"/>
    <w:rsid w:val="00087F44"/>
    <w:rsid w:val="00093283"/>
    <w:rsid w:val="00093F2B"/>
    <w:rsid w:val="00095310"/>
    <w:rsid w:val="0009747F"/>
    <w:rsid w:val="000B174B"/>
    <w:rsid w:val="000B247B"/>
    <w:rsid w:val="000B42E8"/>
    <w:rsid w:val="000C0206"/>
    <w:rsid w:val="000C15ED"/>
    <w:rsid w:val="000C390B"/>
    <w:rsid w:val="000C46F8"/>
    <w:rsid w:val="000C4995"/>
    <w:rsid w:val="000C4C98"/>
    <w:rsid w:val="000D3AAA"/>
    <w:rsid w:val="000D5E26"/>
    <w:rsid w:val="000E55ED"/>
    <w:rsid w:val="000E706B"/>
    <w:rsid w:val="000F1556"/>
    <w:rsid w:val="000F74A0"/>
    <w:rsid w:val="000F7832"/>
    <w:rsid w:val="00101690"/>
    <w:rsid w:val="0010231C"/>
    <w:rsid w:val="00102B4A"/>
    <w:rsid w:val="00104363"/>
    <w:rsid w:val="00107463"/>
    <w:rsid w:val="00107976"/>
    <w:rsid w:val="00110413"/>
    <w:rsid w:val="00113480"/>
    <w:rsid w:val="00115871"/>
    <w:rsid w:val="00117F29"/>
    <w:rsid w:val="00121FCC"/>
    <w:rsid w:val="00124136"/>
    <w:rsid w:val="00125A7A"/>
    <w:rsid w:val="00130DA8"/>
    <w:rsid w:val="00133D59"/>
    <w:rsid w:val="001357C2"/>
    <w:rsid w:val="001372DA"/>
    <w:rsid w:val="001414B5"/>
    <w:rsid w:val="001429FE"/>
    <w:rsid w:val="00145A07"/>
    <w:rsid w:val="001532CC"/>
    <w:rsid w:val="001564BA"/>
    <w:rsid w:val="001609A7"/>
    <w:rsid w:val="001661F2"/>
    <w:rsid w:val="001704C4"/>
    <w:rsid w:val="00170F43"/>
    <w:rsid w:val="00171129"/>
    <w:rsid w:val="00172D2B"/>
    <w:rsid w:val="00173892"/>
    <w:rsid w:val="00173C06"/>
    <w:rsid w:val="00173E46"/>
    <w:rsid w:val="00176773"/>
    <w:rsid w:val="00177AC0"/>
    <w:rsid w:val="00183853"/>
    <w:rsid w:val="001866B0"/>
    <w:rsid w:val="00186FC0"/>
    <w:rsid w:val="001914D8"/>
    <w:rsid w:val="0019491E"/>
    <w:rsid w:val="001A43CD"/>
    <w:rsid w:val="001A50D7"/>
    <w:rsid w:val="001A6DF6"/>
    <w:rsid w:val="001A723F"/>
    <w:rsid w:val="001B19FA"/>
    <w:rsid w:val="001C6D75"/>
    <w:rsid w:val="001D4033"/>
    <w:rsid w:val="001D6D13"/>
    <w:rsid w:val="001D72F7"/>
    <w:rsid w:val="001D7D8B"/>
    <w:rsid w:val="001E13C0"/>
    <w:rsid w:val="001E1712"/>
    <w:rsid w:val="001E3DCA"/>
    <w:rsid w:val="001E4A05"/>
    <w:rsid w:val="001E5C18"/>
    <w:rsid w:val="001F04CF"/>
    <w:rsid w:val="001F21BD"/>
    <w:rsid w:val="001F4C89"/>
    <w:rsid w:val="00203EA4"/>
    <w:rsid w:val="0020579A"/>
    <w:rsid w:val="00205AF3"/>
    <w:rsid w:val="00206FCA"/>
    <w:rsid w:val="00211CD6"/>
    <w:rsid w:val="0021201E"/>
    <w:rsid w:val="002127BD"/>
    <w:rsid w:val="002155E7"/>
    <w:rsid w:val="00216FC0"/>
    <w:rsid w:val="00223172"/>
    <w:rsid w:val="002312C3"/>
    <w:rsid w:val="00233EEB"/>
    <w:rsid w:val="002347F6"/>
    <w:rsid w:val="00245F77"/>
    <w:rsid w:val="002461A8"/>
    <w:rsid w:val="002517E8"/>
    <w:rsid w:val="00252F83"/>
    <w:rsid w:val="002558EC"/>
    <w:rsid w:val="00256403"/>
    <w:rsid w:val="00257229"/>
    <w:rsid w:val="00262300"/>
    <w:rsid w:val="00263CEA"/>
    <w:rsid w:val="00264B4E"/>
    <w:rsid w:val="002663EB"/>
    <w:rsid w:val="002727EB"/>
    <w:rsid w:val="00275FBA"/>
    <w:rsid w:val="002817FA"/>
    <w:rsid w:val="00281809"/>
    <w:rsid w:val="0028334C"/>
    <w:rsid w:val="002855D7"/>
    <w:rsid w:val="00285781"/>
    <w:rsid w:val="0028705F"/>
    <w:rsid w:val="00294183"/>
    <w:rsid w:val="00297E0C"/>
    <w:rsid w:val="002A0140"/>
    <w:rsid w:val="002A04AD"/>
    <w:rsid w:val="002A7D19"/>
    <w:rsid w:val="002B3535"/>
    <w:rsid w:val="002B3AF0"/>
    <w:rsid w:val="002B4DF1"/>
    <w:rsid w:val="002B4F5C"/>
    <w:rsid w:val="002B5E8C"/>
    <w:rsid w:val="002C0C2D"/>
    <w:rsid w:val="002C3775"/>
    <w:rsid w:val="002C7096"/>
    <w:rsid w:val="002D633D"/>
    <w:rsid w:val="002E1030"/>
    <w:rsid w:val="002E300A"/>
    <w:rsid w:val="002E4F78"/>
    <w:rsid w:val="002E6F08"/>
    <w:rsid w:val="002F211C"/>
    <w:rsid w:val="002F45C6"/>
    <w:rsid w:val="002F4C43"/>
    <w:rsid w:val="002F6948"/>
    <w:rsid w:val="002F77B4"/>
    <w:rsid w:val="00300EB8"/>
    <w:rsid w:val="0030573D"/>
    <w:rsid w:val="003061B7"/>
    <w:rsid w:val="00306237"/>
    <w:rsid w:val="003065EB"/>
    <w:rsid w:val="003125F6"/>
    <w:rsid w:val="0031268D"/>
    <w:rsid w:val="00314293"/>
    <w:rsid w:val="003163B7"/>
    <w:rsid w:val="00321867"/>
    <w:rsid w:val="00321D53"/>
    <w:rsid w:val="0032664E"/>
    <w:rsid w:val="003269F9"/>
    <w:rsid w:val="00327CBC"/>
    <w:rsid w:val="00334AD5"/>
    <w:rsid w:val="0034121A"/>
    <w:rsid w:val="0034557B"/>
    <w:rsid w:val="003475FA"/>
    <w:rsid w:val="003540DD"/>
    <w:rsid w:val="003622AD"/>
    <w:rsid w:val="00370573"/>
    <w:rsid w:val="00377E69"/>
    <w:rsid w:val="0038022E"/>
    <w:rsid w:val="00380C76"/>
    <w:rsid w:val="00380F24"/>
    <w:rsid w:val="003837E6"/>
    <w:rsid w:val="00384921"/>
    <w:rsid w:val="003853C0"/>
    <w:rsid w:val="00386F35"/>
    <w:rsid w:val="00393726"/>
    <w:rsid w:val="003939FB"/>
    <w:rsid w:val="003A22BC"/>
    <w:rsid w:val="003A25BD"/>
    <w:rsid w:val="003A4D99"/>
    <w:rsid w:val="003A7325"/>
    <w:rsid w:val="003B0827"/>
    <w:rsid w:val="003B13CC"/>
    <w:rsid w:val="003B50EF"/>
    <w:rsid w:val="003C1C3D"/>
    <w:rsid w:val="003C6EA1"/>
    <w:rsid w:val="003D4812"/>
    <w:rsid w:val="003E02F0"/>
    <w:rsid w:val="003E13E6"/>
    <w:rsid w:val="003E169C"/>
    <w:rsid w:val="003E1F59"/>
    <w:rsid w:val="003E48EE"/>
    <w:rsid w:val="003E584A"/>
    <w:rsid w:val="003E6D8F"/>
    <w:rsid w:val="003E7E9C"/>
    <w:rsid w:val="004040F1"/>
    <w:rsid w:val="0041298C"/>
    <w:rsid w:val="00412E97"/>
    <w:rsid w:val="00414925"/>
    <w:rsid w:val="00416F91"/>
    <w:rsid w:val="004204A8"/>
    <w:rsid w:val="00420874"/>
    <w:rsid w:val="00421993"/>
    <w:rsid w:val="00426901"/>
    <w:rsid w:val="00430591"/>
    <w:rsid w:val="00433382"/>
    <w:rsid w:val="00433D12"/>
    <w:rsid w:val="004343B9"/>
    <w:rsid w:val="0043762B"/>
    <w:rsid w:val="0045100F"/>
    <w:rsid w:val="00452969"/>
    <w:rsid w:val="004540A3"/>
    <w:rsid w:val="004559B5"/>
    <w:rsid w:val="00460ED3"/>
    <w:rsid w:val="004764DC"/>
    <w:rsid w:val="004820E6"/>
    <w:rsid w:val="00484DB0"/>
    <w:rsid w:val="00486C35"/>
    <w:rsid w:val="00492063"/>
    <w:rsid w:val="00492943"/>
    <w:rsid w:val="00497FB3"/>
    <w:rsid w:val="004A0662"/>
    <w:rsid w:val="004A1065"/>
    <w:rsid w:val="004A127F"/>
    <w:rsid w:val="004A294E"/>
    <w:rsid w:val="004B4D32"/>
    <w:rsid w:val="004C3DC2"/>
    <w:rsid w:val="004C63E5"/>
    <w:rsid w:val="004C6B3B"/>
    <w:rsid w:val="004C6BF1"/>
    <w:rsid w:val="004D0478"/>
    <w:rsid w:val="004D0737"/>
    <w:rsid w:val="004D0FBE"/>
    <w:rsid w:val="004D13C5"/>
    <w:rsid w:val="004D1CD4"/>
    <w:rsid w:val="004D214E"/>
    <w:rsid w:val="004D3210"/>
    <w:rsid w:val="004D6DEF"/>
    <w:rsid w:val="004E0037"/>
    <w:rsid w:val="004E047D"/>
    <w:rsid w:val="004E4E12"/>
    <w:rsid w:val="004E53B4"/>
    <w:rsid w:val="004F5266"/>
    <w:rsid w:val="004F6557"/>
    <w:rsid w:val="004F7E21"/>
    <w:rsid w:val="005033E1"/>
    <w:rsid w:val="00505219"/>
    <w:rsid w:val="00505ADA"/>
    <w:rsid w:val="005072DD"/>
    <w:rsid w:val="005105FA"/>
    <w:rsid w:val="00510ED9"/>
    <w:rsid w:val="00513D31"/>
    <w:rsid w:val="00516969"/>
    <w:rsid w:val="00517422"/>
    <w:rsid w:val="00517898"/>
    <w:rsid w:val="00517D9F"/>
    <w:rsid w:val="00521A13"/>
    <w:rsid w:val="00524CAC"/>
    <w:rsid w:val="00536934"/>
    <w:rsid w:val="00537D6D"/>
    <w:rsid w:val="0054123D"/>
    <w:rsid w:val="00542CFE"/>
    <w:rsid w:val="0054393D"/>
    <w:rsid w:val="00543A29"/>
    <w:rsid w:val="00545BA9"/>
    <w:rsid w:val="00551042"/>
    <w:rsid w:val="00552AE1"/>
    <w:rsid w:val="0056203E"/>
    <w:rsid w:val="00564E4A"/>
    <w:rsid w:val="00572CF5"/>
    <w:rsid w:val="00573305"/>
    <w:rsid w:val="00574740"/>
    <w:rsid w:val="00575302"/>
    <w:rsid w:val="00582F6D"/>
    <w:rsid w:val="00594602"/>
    <w:rsid w:val="0059691A"/>
    <w:rsid w:val="00597412"/>
    <w:rsid w:val="00597D46"/>
    <w:rsid w:val="005A4457"/>
    <w:rsid w:val="005A5781"/>
    <w:rsid w:val="005A6E35"/>
    <w:rsid w:val="005A74A5"/>
    <w:rsid w:val="005B1F8D"/>
    <w:rsid w:val="005B413D"/>
    <w:rsid w:val="005B704C"/>
    <w:rsid w:val="005B74BD"/>
    <w:rsid w:val="005C0C35"/>
    <w:rsid w:val="005C7031"/>
    <w:rsid w:val="005C7F17"/>
    <w:rsid w:val="005D3B19"/>
    <w:rsid w:val="005D6D33"/>
    <w:rsid w:val="005E5654"/>
    <w:rsid w:val="005E711B"/>
    <w:rsid w:val="005F0F9E"/>
    <w:rsid w:val="005F1813"/>
    <w:rsid w:val="005F3172"/>
    <w:rsid w:val="005F3BE2"/>
    <w:rsid w:val="005F4692"/>
    <w:rsid w:val="005F6D0B"/>
    <w:rsid w:val="006077E4"/>
    <w:rsid w:val="006114FF"/>
    <w:rsid w:val="0061357A"/>
    <w:rsid w:val="00614EBF"/>
    <w:rsid w:val="00621B6D"/>
    <w:rsid w:val="00625361"/>
    <w:rsid w:val="006270C0"/>
    <w:rsid w:val="00632401"/>
    <w:rsid w:val="00635AC0"/>
    <w:rsid w:val="00640DBA"/>
    <w:rsid w:val="006428D6"/>
    <w:rsid w:val="006432AE"/>
    <w:rsid w:val="00647009"/>
    <w:rsid w:val="006477D6"/>
    <w:rsid w:val="00660B66"/>
    <w:rsid w:val="006645B9"/>
    <w:rsid w:val="0066768F"/>
    <w:rsid w:val="006705C8"/>
    <w:rsid w:val="00670B8C"/>
    <w:rsid w:val="0067221F"/>
    <w:rsid w:val="0067553D"/>
    <w:rsid w:val="00675892"/>
    <w:rsid w:val="00676578"/>
    <w:rsid w:val="00681F03"/>
    <w:rsid w:val="00683521"/>
    <w:rsid w:val="006852C0"/>
    <w:rsid w:val="00692E5B"/>
    <w:rsid w:val="00692F5B"/>
    <w:rsid w:val="00696CD9"/>
    <w:rsid w:val="00696DB9"/>
    <w:rsid w:val="006A387E"/>
    <w:rsid w:val="006A461E"/>
    <w:rsid w:val="006A4B44"/>
    <w:rsid w:val="006A5D54"/>
    <w:rsid w:val="006A6A6B"/>
    <w:rsid w:val="006B02D5"/>
    <w:rsid w:val="006B11FA"/>
    <w:rsid w:val="006B63B1"/>
    <w:rsid w:val="006B7826"/>
    <w:rsid w:val="006C1110"/>
    <w:rsid w:val="006C285D"/>
    <w:rsid w:val="006C6845"/>
    <w:rsid w:val="006D1320"/>
    <w:rsid w:val="006D311A"/>
    <w:rsid w:val="006D3D05"/>
    <w:rsid w:val="006D6CB4"/>
    <w:rsid w:val="006E131C"/>
    <w:rsid w:val="006E37E7"/>
    <w:rsid w:val="006E40A9"/>
    <w:rsid w:val="006F5DD4"/>
    <w:rsid w:val="0070004B"/>
    <w:rsid w:val="00713B2E"/>
    <w:rsid w:val="0071686D"/>
    <w:rsid w:val="00716D84"/>
    <w:rsid w:val="00726BA1"/>
    <w:rsid w:val="00730055"/>
    <w:rsid w:val="007302BA"/>
    <w:rsid w:val="00730602"/>
    <w:rsid w:val="0073265D"/>
    <w:rsid w:val="00741F38"/>
    <w:rsid w:val="007466F0"/>
    <w:rsid w:val="007501BB"/>
    <w:rsid w:val="007512FA"/>
    <w:rsid w:val="00756825"/>
    <w:rsid w:val="00760C82"/>
    <w:rsid w:val="007638CE"/>
    <w:rsid w:val="00763F23"/>
    <w:rsid w:val="007709A4"/>
    <w:rsid w:val="00772E45"/>
    <w:rsid w:val="00783A46"/>
    <w:rsid w:val="00783F5D"/>
    <w:rsid w:val="00785995"/>
    <w:rsid w:val="0079329E"/>
    <w:rsid w:val="007938F0"/>
    <w:rsid w:val="007A0008"/>
    <w:rsid w:val="007A2082"/>
    <w:rsid w:val="007A2D3B"/>
    <w:rsid w:val="007A3003"/>
    <w:rsid w:val="007A7BCC"/>
    <w:rsid w:val="007B007C"/>
    <w:rsid w:val="007B0994"/>
    <w:rsid w:val="007B5711"/>
    <w:rsid w:val="007B65F7"/>
    <w:rsid w:val="007C19A1"/>
    <w:rsid w:val="007C59EC"/>
    <w:rsid w:val="007C79A3"/>
    <w:rsid w:val="007C7A01"/>
    <w:rsid w:val="007D13A1"/>
    <w:rsid w:val="007D1AF6"/>
    <w:rsid w:val="007D43DE"/>
    <w:rsid w:val="007E16E1"/>
    <w:rsid w:val="007E2ACB"/>
    <w:rsid w:val="007E67E2"/>
    <w:rsid w:val="007F67F3"/>
    <w:rsid w:val="00800B9C"/>
    <w:rsid w:val="0080531B"/>
    <w:rsid w:val="0080658A"/>
    <w:rsid w:val="008109BA"/>
    <w:rsid w:val="00814D95"/>
    <w:rsid w:val="008255A7"/>
    <w:rsid w:val="0082599F"/>
    <w:rsid w:val="00826606"/>
    <w:rsid w:val="00831A5A"/>
    <w:rsid w:val="00834927"/>
    <w:rsid w:val="00834D81"/>
    <w:rsid w:val="00835311"/>
    <w:rsid w:val="00836163"/>
    <w:rsid w:val="00842C53"/>
    <w:rsid w:val="008468CB"/>
    <w:rsid w:val="00846BB9"/>
    <w:rsid w:val="0085531E"/>
    <w:rsid w:val="00856281"/>
    <w:rsid w:val="008612CE"/>
    <w:rsid w:val="00871C68"/>
    <w:rsid w:val="008746BB"/>
    <w:rsid w:val="00876D13"/>
    <w:rsid w:val="008804E2"/>
    <w:rsid w:val="00882E69"/>
    <w:rsid w:val="00887C15"/>
    <w:rsid w:val="008908CF"/>
    <w:rsid w:val="00892CB4"/>
    <w:rsid w:val="00893B78"/>
    <w:rsid w:val="0089438A"/>
    <w:rsid w:val="0089775C"/>
    <w:rsid w:val="008A3FAC"/>
    <w:rsid w:val="008A4F1D"/>
    <w:rsid w:val="008B1FB5"/>
    <w:rsid w:val="008B2356"/>
    <w:rsid w:val="008B6632"/>
    <w:rsid w:val="008C2FEB"/>
    <w:rsid w:val="008C5FB9"/>
    <w:rsid w:val="008C6E78"/>
    <w:rsid w:val="008D02EE"/>
    <w:rsid w:val="008D4565"/>
    <w:rsid w:val="008D64C6"/>
    <w:rsid w:val="008E1589"/>
    <w:rsid w:val="008E272F"/>
    <w:rsid w:val="008E3A36"/>
    <w:rsid w:val="008E660D"/>
    <w:rsid w:val="008F2F14"/>
    <w:rsid w:val="008F4CDA"/>
    <w:rsid w:val="008F6181"/>
    <w:rsid w:val="0090347D"/>
    <w:rsid w:val="00906049"/>
    <w:rsid w:val="0090625D"/>
    <w:rsid w:val="009066A0"/>
    <w:rsid w:val="00906B54"/>
    <w:rsid w:val="009104E1"/>
    <w:rsid w:val="0091065F"/>
    <w:rsid w:val="00912423"/>
    <w:rsid w:val="00913B08"/>
    <w:rsid w:val="00922D8A"/>
    <w:rsid w:val="009237C7"/>
    <w:rsid w:val="00925D32"/>
    <w:rsid w:val="009345B2"/>
    <w:rsid w:val="00935390"/>
    <w:rsid w:val="00942718"/>
    <w:rsid w:val="009453A3"/>
    <w:rsid w:val="00946F96"/>
    <w:rsid w:val="0095356E"/>
    <w:rsid w:val="00954FCB"/>
    <w:rsid w:val="00955EC0"/>
    <w:rsid w:val="00961019"/>
    <w:rsid w:val="00963D3D"/>
    <w:rsid w:val="0097121A"/>
    <w:rsid w:val="009712B1"/>
    <w:rsid w:val="009715FD"/>
    <w:rsid w:val="00973E8B"/>
    <w:rsid w:val="00974A90"/>
    <w:rsid w:val="00980A55"/>
    <w:rsid w:val="00984FB8"/>
    <w:rsid w:val="0099003D"/>
    <w:rsid w:val="0099381B"/>
    <w:rsid w:val="009A1EA4"/>
    <w:rsid w:val="009A1F44"/>
    <w:rsid w:val="009A4952"/>
    <w:rsid w:val="009B0845"/>
    <w:rsid w:val="009B2A3F"/>
    <w:rsid w:val="009B527B"/>
    <w:rsid w:val="009C01F2"/>
    <w:rsid w:val="009C1DE9"/>
    <w:rsid w:val="009D1631"/>
    <w:rsid w:val="009D1AEE"/>
    <w:rsid w:val="009D40E3"/>
    <w:rsid w:val="009D518E"/>
    <w:rsid w:val="009E48AD"/>
    <w:rsid w:val="009E730A"/>
    <w:rsid w:val="009F143F"/>
    <w:rsid w:val="00A00D47"/>
    <w:rsid w:val="00A0163C"/>
    <w:rsid w:val="00A01DB7"/>
    <w:rsid w:val="00A03167"/>
    <w:rsid w:val="00A0394D"/>
    <w:rsid w:val="00A07324"/>
    <w:rsid w:val="00A1019B"/>
    <w:rsid w:val="00A20ECD"/>
    <w:rsid w:val="00A22548"/>
    <w:rsid w:val="00A3527B"/>
    <w:rsid w:val="00A36B4F"/>
    <w:rsid w:val="00A37AF6"/>
    <w:rsid w:val="00A41975"/>
    <w:rsid w:val="00A45AF6"/>
    <w:rsid w:val="00A502F8"/>
    <w:rsid w:val="00A50F2B"/>
    <w:rsid w:val="00A5231E"/>
    <w:rsid w:val="00A52AE0"/>
    <w:rsid w:val="00A5393D"/>
    <w:rsid w:val="00A53CB0"/>
    <w:rsid w:val="00A549CD"/>
    <w:rsid w:val="00A55FEC"/>
    <w:rsid w:val="00A6437E"/>
    <w:rsid w:val="00A70A42"/>
    <w:rsid w:val="00A7122C"/>
    <w:rsid w:val="00A71244"/>
    <w:rsid w:val="00A73DA4"/>
    <w:rsid w:val="00A76864"/>
    <w:rsid w:val="00A8005A"/>
    <w:rsid w:val="00A831C2"/>
    <w:rsid w:val="00A90C5E"/>
    <w:rsid w:val="00A956C6"/>
    <w:rsid w:val="00A96A47"/>
    <w:rsid w:val="00AA0C4F"/>
    <w:rsid w:val="00AB00E8"/>
    <w:rsid w:val="00AB3888"/>
    <w:rsid w:val="00AB78E1"/>
    <w:rsid w:val="00AC14C8"/>
    <w:rsid w:val="00AC2005"/>
    <w:rsid w:val="00AC210E"/>
    <w:rsid w:val="00AC5322"/>
    <w:rsid w:val="00AD2CC3"/>
    <w:rsid w:val="00AD3D36"/>
    <w:rsid w:val="00AD5A04"/>
    <w:rsid w:val="00AD6AA8"/>
    <w:rsid w:val="00AE39CD"/>
    <w:rsid w:val="00AE47B0"/>
    <w:rsid w:val="00AE5609"/>
    <w:rsid w:val="00AF2237"/>
    <w:rsid w:val="00AF22B4"/>
    <w:rsid w:val="00AF2BBF"/>
    <w:rsid w:val="00AF5D60"/>
    <w:rsid w:val="00AF7301"/>
    <w:rsid w:val="00B0249E"/>
    <w:rsid w:val="00B02759"/>
    <w:rsid w:val="00B05EF4"/>
    <w:rsid w:val="00B06754"/>
    <w:rsid w:val="00B10275"/>
    <w:rsid w:val="00B133C2"/>
    <w:rsid w:val="00B1465B"/>
    <w:rsid w:val="00B16653"/>
    <w:rsid w:val="00B16C03"/>
    <w:rsid w:val="00B20163"/>
    <w:rsid w:val="00B21ED3"/>
    <w:rsid w:val="00B2357F"/>
    <w:rsid w:val="00B2369C"/>
    <w:rsid w:val="00B27288"/>
    <w:rsid w:val="00B32671"/>
    <w:rsid w:val="00B344C5"/>
    <w:rsid w:val="00B36A0B"/>
    <w:rsid w:val="00B37F41"/>
    <w:rsid w:val="00B37FB4"/>
    <w:rsid w:val="00B42C14"/>
    <w:rsid w:val="00B4307C"/>
    <w:rsid w:val="00B45796"/>
    <w:rsid w:val="00B470E3"/>
    <w:rsid w:val="00B52783"/>
    <w:rsid w:val="00B55B12"/>
    <w:rsid w:val="00B61368"/>
    <w:rsid w:val="00B62337"/>
    <w:rsid w:val="00B67179"/>
    <w:rsid w:val="00B754D4"/>
    <w:rsid w:val="00B755AD"/>
    <w:rsid w:val="00B777B5"/>
    <w:rsid w:val="00B80E16"/>
    <w:rsid w:val="00B826D1"/>
    <w:rsid w:val="00B82BA6"/>
    <w:rsid w:val="00B83010"/>
    <w:rsid w:val="00B83B53"/>
    <w:rsid w:val="00B83E49"/>
    <w:rsid w:val="00B91805"/>
    <w:rsid w:val="00B96BD2"/>
    <w:rsid w:val="00B96D53"/>
    <w:rsid w:val="00B96D5D"/>
    <w:rsid w:val="00B970DD"/>
    <w:rsid w:val="00B97B58"/>
    <w:rsid w:val="00BA5EA8"/>
    <w:rsid w:val="00BA7E35"/>
    <w:rsid w:val="00BB2248"/>
    <w:rsid w:val="00BB3D1D"/>
    <w:rsid w:val="00BB45D6"/>
    <w:rsid w:val="00BB5D74"/>
    <w:rsid w:val="00BC2CF3"/>
    <w:rsid w:val="00BC39BA"/>
    <w:rsid w:val="00BC3B49"/>
    <w:rsid w:val="00BC5228"/>
    <w:rsid w:val="00BC5F44"/>
    <w:rsid w:val="00BC6E06"/>
    <w:rsid w:val="00BD144F"/>
    <w:rsid w:val="00BD165B"/>
    <w:rsid w:val="00BD1D1F"/>
    <w:rsid w:val="00BD5A22"/>
    <w:rsid w:val="00BD5CF7"/>
    <w:rsid w:val="00BD6046"/>
    <w:rsid w:val="00BD6D55"/>
    <w:rsid w:val="00BD7110"/>
    <w:rsid w:val="00BE2BF9"/>
    <w:rsid w:val="00BE6D00"/>
    <w:rsid w:val="00BF0490"/>
    <w:rsid w:val="00C00FD0"/>
    <w:rsid w:val="00C02A6F"/>
    <w:rsid w:val="00C03DC6"/>
    <w:rsid w:val="00C04AFB"/>
    <w:rsid w:val="00C05173"/>
    <w:rsid w:val="00C0560C"/>
    <w:rsid w:val="00C1408A"/>
    <w:rsid w:val="00C144BF"/>
    <w:rsid w:val="00C17C2B"/>
    <w:rsid w:val="00C203DD"/>
    <w:rsid w:val="00C22824"/>
    <w:rsid w:val="00C23A04"/>
    <w:rsid w:val="00C241E0"/>
    <w:rsid w:val="00C24EB3"/>
    <w:rsid w:val="00C27DDD"/>
    <w:rsid w:val="00C359CC"/>
    <w:rsid w:val="00C409FC"/>
    <w:rsid w:val="00C44CDE"/>
    <w:rsid w:val="00C45A94"/>
    <w:rsid w:val="00C46879"/>
    <w:rsid w:val="00C4743E"/>
    <w:rsid w:val="00C51442"/>
    <w:rsid w:val="00C518EB"/>
    <w:rsid w:val="00C551E9"/>
    <w:rsid w:val="00C628E5"/>
    <w:rsid w:val="00C63DB4"/>
    <w:rsid w:val="00C6686F"/>
    <w:rsid w:val="00C770C4"/>
    <w:rsid w:val="00C817F6"/>
    <w:rsid w:val="00C822BE"/>
    <w:rsid w:val="00C85734"/>
    <w:rsid w:val="00C90F9D"/>
    <w:rsid w:val="00CA301B"/>
    <w:rsid w:val="00CA4537"/>
    <w:rsid w:val="00CA5062"/>
    <w:rsid w:val="00CA71C7"/>
    <w:rsid w:val="00CB0A1E"/>
    <w:rsid w:val="00CB1163"/>
    <w:rsid w:val="00CB249B"/>
    <w:rsid w:val="00CB2EA0"/>
    <w:rsid w:val="00CB4A2B"/>
    <w:rsid w:val="00CB7392"/>
    <w:rsid w:val="00CC0FCA"/>
    <w:rsid w:val="00CC1371"/>
    <w:rsid w:val="00CC1456"/>
    <w:rsid w:val="00CC342C"/>
    <w:rsid w:val="00CC486D"/>
    <w:rsid w:val="00CC5882"/>
    <w:rsid w:val="00CC7899"/>
    <w:rsid w:val="00CD16EA"/>
    <w:rsid w:val="00CD3A89"/>
    <w:rsid w:val="00CD62EA"/>
    <w:rsid w:val="00CD7AFD"/>
    <w:rsid w:val="00CE44FA"/>
    <w:rsid w:val="00CE5886"/>
    <w:rsid w:val="00CF111D"/>
    <w:rsid w:val="00CF19D2"/>
    <w:rsid w:val="00CF3168"/>
    <w:rsid w:val="00CF7793"/>
    <w:rsid w:val="00D00B6C"/>
    <w:rsid w:val="00D046A6"/>
    <w:rsid w:val="00D0774B"/>
    <w:rsid w:val="00D13696"/>
    <w:rsid w:val="00D15268"/>
    <w:rsid w:val="00D15ABD"/>
    <w:rsid w:val="00D16C35"/>
    <w:rsid w:val="00D25EBB"/>
    <w:rsid w:val="00D30976"/>
    <w:rsid w:val="00D4037B"/>
    <w:rsid w:val="00D42461"/>
    <w:rsid w:val="00D44789"/>
    <w:rsid w:val="00D47B8D"/>
    <w:rsid w:val="00D5241A"/>
    <w:rsid w:val="00D53DAF"/>
    <w:rsid w:val="00D556E9"/>
    <w:rsid w:val="00D55EAD"/>
    <w:rsid w:val="00D66342"/>
    <w:rsid w:val="00D6666B"/>
    <w:rsid w:val="00D7129F"/>
    <w:rsid w:val="00D71841"/>
    <w:rsid w:val="00D7670D"/>
    <w:rsid w:val="00D80045"/>
    <w:rsid w:val="00D8245A"/>
    <w:rsid w:val="00D8407D"/>
    <w:rsid w:val="00D87D56"/>
    <w:rsid w:val="00D90407"/>
    <w:rsid w:val="00D90C90"/>
    <w:rsid w:val="00D9241B"/>
    <w:rsid w:val="00D94321"/>
    <w:rsid w:val="00D96018"/>
    <w:rsid w:val="00D974BB"/>
    <w:rsid w:val="00D975ED"/>
    <w:rsid w:val="00DA00DE"/>
    <w:rsid w:val="00DA1390"/>
    <w:rsid w:val="00DA5DB3"/>
    <w:rsid w:val="00DA6881"/>
    <w:rsid w:val="00DB1759"/>
    <w:rsid w:val="00DB416C"/>
    <w:rsid w:val="00DC0CCF"/>
    <w:rsid w:val="00DC2FB8"/>
    <w:rsid w:val="00DC566F"/>
    <w:rsid w:val="00DC696F"/>
    <w:rsid w:val="00DC7244"/>
    <w:rsid w:val="00DD0876"/>
    <w:rsid w:val="00DE1458"/>
    <w:rsid w:val="00DE2760"/>
    <w:rsid w:val="00DE2FA1"/>
    <w:rsid w:val="00DE3E12"/>
    <w:rsid w:val="00DF292E"/>
    <w:rsid w:val="00E04365"/>
    <w:rsid w:val="00E04BE3"/>
    <w:rsid w:val="00E06A42"/>
    <w:rsid w:val="00E06A43"/>
    <w:rsid w:val="00E1072E"/>
    <w:rsid w:val="00E10B7E"/>
    <w:rsid w:val="00E11F6E"/>
    <w:rsid w:val="00E123AC"/>
    <w:rsid w:val="00E13561"/>
    <w:rsid w:val="00E14C28"/>
    <w:rsid w:val="00E1604A"/>
    <w:rsid w:val="00E2164A"/>
    <w:rsid w:val="00E232A1"/>
    <w:rsid w:val="00E26C63"/>
    <w:rsid w:val="00E27DC5"/>
    <w:rsid w:val="00E329B4"/>
    <w:rsid w:val="00E34B64"/>
    <w:rsid w:val="00E34C06"/>
    <w:rsid w:val="00E4196C"/>
    <w:rsid w:val="00E60FAF"/>
    <w:rsid w:val="00E64DCB"/>
    <w:rsid w:val="00E70837"/>
    <w:rsid w:val="00E71A13"/>
    <w:rsid w:val="00E82113"/>
    <w:rsid w:val="00E85C7B"/>
    <w:rsid w:val="00E8617A"/>
    <w:rsid w:val="00E90119"/>
    <w:rsid w:val="00E92193"/>
    <w:rsid w:val="00E9390C"/>
    <w:rsid w:val="00E95422"/>
    <w:rsid w:val="00E97CC9"/>
    <w:rsid w:val="00EA2BE8"/>
    <w:rsid w:val="00EA454E"/>
    <w:rsid w:val="00EC0860"/>
    <w:rsid w:val="00EC79A4"/>
    <w:rsid w:val="00EE5EE5"/>
    <w:rsid w:val="00EF1A7B"/>
    <w:rsid w:val="00F0237F"/>
    <w:rsid w:val="00F027FC"/>
    <w:rsid w:val="00F02EC0"/>
    <w:rsid w:val="00F057FF"/>
    <w:rsid w:val="00F06ACE"/>
    <w:rsid w:val="00F13F7F"/>
    <w:rsid w:val="00F147F4"/>
    <w:rsid w:val="00F17C9B"/>
    <w:rsid w:val="00F22148"/>
    <w:rsid w:val="00F27D38"/>
    <w:rsid w:val="00F30995"/>
    <w:rsid w:val="00F31DB1"/>
    <w:rsid w:val="00F33334"/>
    <w:rsid w:val="00F374B3"/>
    <w:rsid w:val="00F37926"/>
    <w:rsid w:val="00F409B2"/>
    <w:rsid w:val="00F40AD0"/>
    <w:rsid w:val="00F40D60"/>
    <w:rsid w:val="00F44793"/>
    <w:rsid w:val="00F54BEB"/>
    <w:rsid w:val="00F5606E"/>
    <w:rsid w:val="00F569C7"/>
    <w:rsid w:val="00F608A3"/>
    <w:rsid w:val="00F628BA"/>
    <w:rsid w:val="00F66329"/>
    <w:rsid w:val="00F66420"/>
    <w:rsid w:val="00F67B1B"/>
    <w:rsid w:val="00F67D19"/>
    <w:rsid w:val="00F7137B"/>
    <w:rsid w:val="00F73560"/>
    <w:rsid w:val="00F74120"/>
    <w:rsid w:val="00F7777D"/>
    <w:rsid w:val="00F8383E"/>
    <w:rsid w:val="00F85175"/>
    <w:rsid w:val="00F86E31"/>
    <w:rsid w:val="00F87770"/>
    <w:rsid w:val="00F92DA1"/>
    <w:rsid w:val="00F95B27"/>
    <w:rsid w:val="00FA0748"/>
    <w:rsid w:val="00FA1EBA"/>
    <w:rsid w:val="00FA25C4"/>
    <w:rsid w:val="00FA2DB0"/>
    <w:rsid w:val="00FA2DC8"/>
    <w:rsid w:val="00FA37D2"/>
    <w:rsid w:val="00FB3378"/>
    <w:rsid w:val="00FC6332"/>
    <w:rsid w:val="00FC7115"/>
    <w:rsid w:val="00FC7417"/>
    <w:rsid w:val="00FD243D"/>
    <w:rsid w:val="00FD3D63"/>
    <w:rsid w:val="00FD44AD"/>
    <w:rsid w:val="00FD5C45"/>
    <w:rsid w:val="00FD7905"/>
    <w:rsid w:val="00FE0FE2"/>
    <w:rsid w:val="00FF1D3F"/>
    <w:rsid w:val="00FF1F89"/>
    <w:rsid w:val="00FF382C"/>
    <w:rsid w:val="00FF3A83"/>
    <w:rsid w:val="00FF45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CE13304"/>
  <w15:docId w15:val="{8133ABD9-F958-44F3-90DC-B0E56B30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876"/>
    <w:rPr>
      <w:sz w:val="24"/>
      <w:szCs w:val="24"/>
      <w:lang w:val="en-GB"/>
    </w:rPr>
  </w:style>
  <w:style w:type="paragraph" w:styleId="Titre1">
    <w:name w:val="heading 1"/>
    <w:basedOn w:val="Normal"/>
    <w:next w:val="Normal"/>
    <w:link w:val="Titre1Car"/>
    <w:qFormat/>
    <w:rsid w:val="00DD0876"/>
    <w:pPr>
      <w:keepNext/>
      <w:spacing w:line="300" w:lineRule="atLeast"/>
      <w:jc w:val="center"/>
      <w:outlineLvl w:val="0"/>
    </w:pPr>
    <w:rPr>
      <w:rFonts w:ascii="CG Times (PCL6)" w:hAnsi="CG Times (PCL6)"/>
      <w:b/>
      <w:bCs/>
      <w:snapToGrid w:val="0"/>
      <w:sz w:val="22"/>
      <w:szCs w:val="22"/>
    </w:rPr>
  </w:style>
  <w:style w:type="paragraph" w:styleId="Titre3">
    <w:name w:val="heading 3"/>
    <w:basedOn w:val="Normal"/>
    <w:next w:val="Normal"/>
    <w:qFormat/>
    <w:rsid w:val="00DD0876"/>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DD0876"/>
    <w:rPr>
      <w:color w:val="0000FF"/>
      <w:u w:val="single"/>
    </w:rPr>
  </w:style>
  <w:style w:type="paragraph" w:styleId="En-tte">
    <w:name w:val="header"/>
    <w:basedOn w:val="Normal"/>
    <w:rsid w:val="00DD0876"/>
    <w:pPr>
      <w:tabs>
        <w:tab w:val="center" w:pos="4536"/>
        <w:tab w:val="right" w:pos="9072"/>
      </w:tabs>
    </w:pPr>
    <w:rPr>
      <w:sz w:val="20"/>
      <w:szCs w:val="20"/>
    </w:rPr>
  </w:style>
  <w:style w:type="paragraph" w:styleId="Pieddepage">
    <w:name w:val="footer"/>
    <w:basedOn w:val="Normal"/>
    <w:link w:val="PieddepageCar"/>
    <w:rsid w:val="00DD0876"/>
    <w:pPr>
      <w:tabs>
        <w:tab w:val="center" w:pos="4536"/>
        <w:tab w:val="right" w:pos="9072"/>
      </w:tabs>
    </w:pPr>
  </w:style>
  <w:style w:type="character" w:styleId="Lienhypertextesuivivisit">
    <w:name w:val="FollowedHyperlink"/>
    <w:basedOn w:val="Policepardfaut"/>
    <w:rsid w:val="00DD0876"/>
    <w:rPr>
      <w:color w:val="800080"/>
      <w:u w:val="single"/>
    </w:rPr>
  </w:style>
  <w:style w:type="paragraph" w:styleId="Corpsdetexte">
    <w:name w:val="Body Text"/>
    <w:basedOn w:val="Normal"/>
    <w:rsid w:val="00DD0876"/>
    <w:pPr>
      <w:jc w:val="both"/>
    </w:pPr>
    <w:rPr>
      <w:rFonts w:ascii="Arial Narrow" w:hAnsi="Arial Narrow"/>
      <w:snapToGrid w:val="0"/>
      <w:sz w:val="22"/>
      <w:szCs w:val="22"/>
    </w:rPr>
  </w:style>
  <w:style w:type="paragraph" w:styleId="Retraitcorpsdetexte">
    <w:name w:val="Body Text Indent"/>
    <w:basedOn w:val="Normal"/>
    <w:rsid w:val="00DD0876"/>
    <w:pPr>
      <w:spacing w:after="120"/>
      <w:ind w:left="283"/>
    </w:pPr>
  </w:style>
  <w:style w:type="paragraph" w:styleId="Corpsdetexte3">
    <w:name w:val="Body Text 3"/>
    <w:basedOn w:val="Normal"/>
    <w:rsid w:val="00DD0876"/>
    <w:pPr>
      <w:spacing w:after="120"/>
    </w:pPr>
    <w:rPr>
      <w:sz w:val="16"/>
      <w:szCs w:val="16"/>
    </w:rPr>
  </w:style>
  <w:style w:type="paragraph" w:customStyle="1" w:styleId="Bulleted">
    <w:name w:val="Bulleted"/>
    <w:basedOn w:val="Normal"/>
    <w:autoRedefine/>
    <w:rsid w:val="00DD0876"/>
    <w:pPr>
      <w:numPr>
        <w:numId w:val="1"/>
      </w:numPr>
      <w:spacing w:after="60"/>
      <w:jc w:val="both"/>
    </w:pPr>
    <w:rPr>
      <w:rFonts w:ascii="LucidaT" w:hAnsi="LucidaT"/>
      <w:sz w:val="20"/>
      <w:szCs w:val="20"/>
      <w:lang w:val="fr-FR"/>
    </w:rPr>
  </w:style>
  <w:style w:type="paragraph" w:styleId="NormalWeb">
    <w:name w:val="Normal (Web)"/>
    <w:basedOn w:val="Normal"/>
    <w:rsid w:val="00DD0876"/>
    <w:pPr>
      <w:spacing w:before="150" w:line="348" w:lineRule="auto"/>
    </w:pPr>
    <w:rPr>
      <w:lang w:val="fr-FR"/>
    </w:rPr>
  </w:style>
  <w:style w:type="paragraph" w:styleId="Notedebasdepage">
    <w:name w:val="footnote text"/>
    <w:aliases w:val="Char, Char"/>
    <w:basedOn w:val="Normal"/>
    <w:link w:val="NotedebasdepageCar"/>
    <w:qFormat/>
    <w:rsid w:val="00D556E9"/>
    <w:rPr>
      <w:sz w:val="20"/>
      <w:szCs w:val="20"/>
    </w:rPr>
  </w:style>
  <w:style w:type="character" w:styleId="Appelnotedebasdep">
    <w:name w:val="footnote reference"/>
    <w:basedOn w:val="Policepardfaut"/>
    <w:rsid w:val="00D556E9"/>
    <w:rPr>
      <w:vertAlign w:val="superscript"/>
    </w:rPr>
  </w:style>
  <w:style w:type="paragraph" w:customStyle="1" w:styleId="Default">
    <w:name w:val="Default"/>
    <w:rsid w:val="00C24EB3"/>
    <w:pPr>
      <w:autoSpaceDE w:val="0"/>
      <w:autoSpaceDN w:val="0"/>
      <w:adjustRightInd w:val="0"/>
    </w:pPr>
    <w:rPr>
      <w:color w:val="000000"/>
      <w:sz w:val="24"/>
      <w:szCs w:val="24"/>
    </w:rPr>
  </w:style>
  <w:style w:type="character" w:customStyle="1" w:styleId="PieddepageCar">
    <w:name w:val="Pied de page Car"/>
    <w:link w:val="Pieddepage"/>
    <w:rsid w:val="00117F29"/>
    <w:rPr>
      <w:sz w:val="24"/>
      <w:szCs w:val="24"/>
      <w:lang w:val="en-GB"/>
    </w:rPr>
  </w:style>
  <w:style w:type="character" w:customStyle="1" w:styleId="Titre1Car">
    <w:name w:val="Titre 1 Car"/>
    <w:basedOn w:val="Policepardfaut"/>
    <w:link w:val="Titre1"/>
    <w:rsid w:val="003269F9"/>
    <w:rPr>
      <w:rFonts w:ascii="CG Times (PCL6)" w:hAnsi="CG Times (PCL6)"/>
      <w:b/>
      <w:bCs/>
      <w:snapToGrid w:val="0"/>
      <w:sz w:val="22"/>
      <w:szCs w:val="22"/>
      <w:lang w:val="en-GB"/>
    </w:rPr>
  </w:style>
  <w:style w:type="character" w:styleId="Marquedecommentaire">
    <w:name w:val="annotation reference"/>
    <w:basedOn w:val="Policepardfaut"/>
    <w:uiPriority w:val="99"/>
    <w:unhideWhenUsed/>
    <w:rsid w:val="00772E45"/>
    <w:rPr>
      <w:sz w:val="16"/>
      <w:szCs w:val="16"/>
    </w:rPr>
  </w:style>
  <w:style w:type="paragraph" w:styleId="Commentaire">
    <w:name w:val="annotation text"/>
    <w:basedOn w:val="Normal"/>
    <w:link w:val="CommentaireCar"/>
    <w:uiPriority w:val="99"/>
    <w:unhideWhenUsed/>
    <w:rsid w:val="00772E45"/>
    <w:pPr>
      <w:tabs>
        <w:tab w:val="left" w:pos="709"/>
      </w:tabs>
      <w:spacing w:after="240" w:line="312" w:lineRule="auto"/>
      <w:jc w:val="both"/>
    </w:pPr>
    <w:rPr>
      <w:rFonts w:ascii="Calibri" w:eastAsiaTheme="minorHAnsi" w:hAnsi="Calibri" w:cstheme="minorBidi"/>
      <w:sz w:val="22"/>
      <w:szCs w:val="22"/>
      <w:lang w:eastAsia="en-US"/>
    </w:rPr>
  </w:style>
  <w:style w:type="character" w:customStyle="1" w:styleId="CommentaireCar">
    <w:name w:val="Commentaire Car"/>
    <w:basedOn w:val="Policepardfaut"/>
    <w:link w:val="Commentaire"/>
    <w:uiPriority w:val="99"/>
    <w:rsid w:val="00772E45"/>
    <w:rPr>
      <w:rFonts w:ascii="Calibri" w:eastAsiaTheme="minorHAnsi" w:hAnsi="Calibri" w:cstheme="minorBidi"/>
      <w:sz w:val="22"/>
      <w:szCs w:val="22"/>
      <w:lang w:val="en-GB" w:eastAsia="en-US"/>
    </w:rPr>
  </w:style>
  <w:style w:type="paragraph" w:styleId="Textedebulles">
    <w:name w:val="Balloon Text"/>
    <w:basedOn w:val="Normal"/>
    <w:link w:val="TextedebullesCar"/>
    <w:rsid w:val="00772E45"/>
    <w:rPr>
      <w:rFonts w:ascii="Tahoma" w:hAnsi="Tahoma" w:cs="Tahoma"/>
      <w:sz w:val="16"/>
      <w:szCs w:val="16"/>
    </w:rPr>
  </w:style>
  <w:style w:type="character" w:customStyle="1" w:styleId="TextedebullesCar">
    <w:name w:val="Texte de bulles Car"/>
    <w:basedOn w:val="Policepardfaut"/>
    <w:link w:val="Textedebulles"/>
    <w:rsid w:val="00772E45"/>
    <w:rPr>
      <w:rFonts w:ascii="Tahoma" w:hAnsi="Tahoma" w:cs="Tahoma"/>
      <w:sz w:val="16"/>
      <w:szCs w:val="16"/>
      <w:lang w:val="en-GB"/>
    </w:rPr>
  </w:style>
  <w:style w:type="paragraph" w:styleId="Paragraphedeliste">
    <w:name w:val="List Paragraph"/>
    <w:basedOn w:val="Normal"/>
    <w:link w:val="ParagraphedelisteCar"/>
    <w:uiPriority w:val="34"/>
    <w:qFormat/>
    <w:rsid w:val="005B413D"/>
    <w:pPr>
      <w:tabs>
        <w:tab w:val="left" w:pos="709"/>
      </w:tabs>
      <w:spacing w:after="240" w:line="312" w:lineRule="auto"/>
      <w:ind w:left="720"/>
      <w:contextualSpacing/>
      <w:jc w:val="both"/>
    </w:pPr>
    <w:rPr>
      <w:rFonts w:ascii="Calibri" w:eastAsiaTheme="minorHAnsi" w:hAnsi="Calibri" w:cstheme="minorBidi"/>
      <w:sz w:val="22"/>
      <w:szCs w:val="22"/>
      <w:lang w:eastAsia="en-US"/>
    </w:rPr>
  </w:style>
  <w:style w:type="paragraph" w:styleId="Objetducommentaire">
    <w:name w:val="annotation subject"/>
    <w:basedOn w:val="Commentaire"/>
    <w:next w:val="Commentaire"/>
    <w:link w:val="ObjetducommentaireCar"/>
    <w:rsid w:val="00170F43"/>
    <w:pPr>
      <w:tabs>
        <w:tab w:val="clear" w:pos="709"/>
      </w:tabs>
      <w:spacing w:after="0" w:line="240" w:lineRule="auto"/>
      <w:jc w:val="left"/>
    </w:pPr>
    <w:rPr>
      <w:rFonts w:ascii="Times New Roman" w:eastAsia="Times New Roman" w:hAnsi="Times New Roman" w:cs="Times New Roman"/>
      <w:b/>
      <w:bCs/>
      <w:sz w:val="20"/>
      <w:szCs w:val="20"/>
      <w:lang w:eastAsia="fr-FR"/>
    </w:rPr>
  </w:style>
  <w:style w:type="character" w:customStyle="1" w:styleId="ObjetducommentaireCar">
    <w:name w:val="Objet du commentaire Car"/>
    <w:basedOn w:val="CommentaireCar"/>
    <w:link w:val="Objetducommentaire"/>
    <w:rsid w:val="00170F43"/>
    <w:rPr>
      <w:rFonts w:ascii="Calibri" w:eastAsiaTheme="minorHAnsi" w:hAnsi="Calibri" w:cstheme="minorBidi"/>
      <w:b/>
      <w:bCs/>
      <w:sz w:val="22"/>
      <w:szCs w:val="22"/>
      <w:lang w:val="en-GB" w:eastAsia="en-US"/>
    </w:rPr>
  </w:style>
  <w:style w:type="paragraph" w:styleId="Notedefin">
    <w:name w:val="endnote text"/>
    <w:basedOn w:val="Normal"/>
    <w:link w:val="NotedefinCar"/>
    <w:rsid w:val="00FD243D"/>
    <w:rPr>
      <w:sz w:val="20"/>
      <w:szCs w:val="20"/>
    </w:rPr>
  </w:style>
  <w:style w:type="character" w:customStyle="1" w:styleId="NotedefinCar">
    <w:name w:val="Note de fin Car"/>
    <w:basedOn w:val="Policepardfaut"/>
    <w:link w:val="Notedefin"/>
    <w:rsid w:val="00FD243D"/>
    <w:rPr>
      <w:lang w:val="en-GB"/>
    </w:rPr>
  </w:style>
  <w:style w:type="character" w:styleId="Appeldenotedefin">
    <w:name w:val="endnote reference"/>
    <w:basedOn w:val="Policepardfaut"/>
    <w:rsid w:val="00FD243D"/>
    <w:rPr>
      <w:vertAlign w:val="superscript"/>
    </w:rPr>
  </w:style>
  <w:style w:type="character" w:customStyle="1" w:styleId="bumpedfont15">
    <w:name w:val="bumpedfont15"/>
    <w:basedOn w:val="Policepardfaut"/>
    <w:rsid w:val="00D6666B"/>
  </w:style>
  <w:style w:type="character" w:customStyle="1" w:styleId="NotedebasdepageCar">
    <w:name w:val="Note de bas de page Car"/>
    <w:aliases w:val="Char Car, Char Car"/>
    <w:basedOn w:val="Policepardfaut"/>
    <w:link w:val="Notedebasdepage"/>
    <w:rsid w:val="00DA5DB3"/>
    <w:rPr>
      <w:lang w:val="en-GB"/>
    </w:rPr>
  </w:style>
  <w:style w:type="paragraph" w:styleId="Rvision">
    <w:name w:val="Revision"/>
    <w:hidden/>
    <w:uiPriority w:val="99"/>
    <w:semiHidden/>
    <w:rsid w:val="00974A90"/>
    <w:rPr>
      <w:sz w:val="24"/>
      <w:szCs w:val="24"/>
      <w:lang w:val="en-GB"/>
    </w:rPr>
  </w:style>
  <w:style w:type="character" w:customStyle="1" w:styleId="ParagraphedelisteCar">
    <w:name w:val="Paragraphe de liste Car"/>
    <w:basedOn w:val="Policepardfaut"/>
    <w:link w:val="Paragraphedeliste"/>
    <w:uiPriority w:val="34"/>
    <w:locked/>
    <w:rsid w:val="00E04BE3"/>
    <w:rPr>
      <w:rFonts w:ascii="Calibri" w:eastAsiaTheme="minorHAnsi" w:hAnsi="Calibri" w:cstheme="minorBidi"/>
      <w:sz w:val="22"/>
      <w:szCs w:val="22"/>
      <w:lang w:val="en-GB" w:eastAsia="en-US"/>
    </w:rPr>
  </w:style>
  <w:style w:type="paragraph" w:styleId="Lgende">
    <w:name w:val="caption"/>
    <w:basedOn w:val="Normal"/>
    <w:next w:val="Normal"/>
    <w:uiPriority w:val="35"/>
    <w:qFormat/>
    <w:rsid w:val="00510ED9"/>
    <w:pPr>
      <w:spacing w:before="120" w:after="120"/>
      <w:jc w:val="both"/>
    </w:pPr>
    <w:rPr>
      <w:rFonts w:eastAsia="SimSun"/>
      <w:b/>
      <w:bCs/>
      <w:szCs w:val="20"/>
    </w:rPr>
  </w:style>
  <w:style w:type="character" w:styleId="Textedelespacerserv">
    <w:name w:val="Placeholder Text"/>
    <w:basedOn w:val="Policepardfaut"/>
    <w:uiPriority w:val="99"/>
    <w:semiHidden/>
    <w:rsid w:val="00D840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69789">
      <w:bodyDiv w:val="1"/>
      <w:marLeft w:val="0"/>
      <w:marRight w:val="0"/>
      <w:marTop w:val="0"/>
      <w:marBottom w:val="0"/>
      <w:divBdr>
        <w:top w:val="none" w:sz="0" w:space="0" w:color="auto"/>
        <w:left w:val="none" w:sz="0" w:space="0" w:color="auto"/>
        <w:bottom w:val="none" w:sz="0" w:space="0" w:color="auto"/>
        <w:right w:val="none" w:sz="0" w:space="0" w:color="auto"/>
      </w:divBdr>
    </w:div>
    <w:div w:id="73400737">
      <w:bodyDiv w:val="1"/>
      <w:marLeft w:val="0"/>
      <w:marRight w:val="0"/>
      <w:marTop w:val="0"/>
      <w:marBottom w:val="0"/>
      <w:divBdr>
        <w:top w:val="none" w:sz="0" w:space="0" w:color="auto"/>
        <w:left w:val="none" w:sz="0" w:space="0" w:color="auto"/>
        <w:bottom w:val="none" w:sz="0" w:space="0" w:color="auto"/>
        <w:right w:val="none" w:sz="0" w:space="0" w:color="auto"/>
      </w:divBdr>
      <w:divsChild>
        <w:div w:id="1409577872">
          <w:marLeft w:val="0"/>
          <w:marRight w:val="0"/>
          <w:marTop w:val="0"/>
          <w:marBottom w:val="0"/>
          <w:divBdr>
            <w:top w:val="none" w:sz="0" w:space="0" w:color="auto"/>
            <w:left w:val="none" w:sz="0" w:space="0" w:color="auto"/>
            <w:bottom w:val="none" w:sz="0" w:space="0" w:color="auto"/>
            <w:right w:val="none" w:sz="0" w:space="0" w:color="auto"/>
          </w:divBdr>
        </w:div>
      </w:divsChild>
    </w:div>
    <w:div w:id="93013987">
      <w:bodyDiv w:val="1"/>
      <w:marLeft w:val="0"/>
      <w:marRight w:val="0"/>
      <w:marTop w:val="0"/>
      <w:marBottom w:val="0"/>
      <w:divBdr>
        <w:top w:val="none" w:sz="0" w:space="0" w:color="auto"/>
        <w:left w:val="none" w:sz="0" w:space="0" w:color="auto"/>
        <w:bottom w:val="none" w:sz="0" w:space="0" w:color="auto"/>
        <w:right w:val="none" w:sz="0" w:space="0" w:color="auto"/>
      </w:divBdr>
      <w:divsChild>
        <w:div w:id="446896176">
          <w:marLeft w:val="0"/>
          <w:marRight w:val="0"/>
          <w:marTop w:val="0"/>
          <w:marBottom w:val="0"/>
          <w:divBdr>
            <w:top w:val="none" w:sz="0" w:space="0" w:color="auto"/>
            <w:left w:val="none" w:sz="0" w:space="0" w:color="auto"/>
            <w:bottom w:val="none" w:sz="0" w:space="0" w:color="auto"/>
            <w:right w:val="none" w:sz="0" w:space="0" w:color="auto"/>
          </w:divBdr>
          <w:divsChild>
            <w:div w:id="18707598">
              <w:marLeft w:val="0"/>
              <w:marRight w:val="0"/>
              <w:marTop w:val="0"/>
              <w:marBottom w:val="0"/>
              <w:divBdr>
                <w:top w:val="none" w:sz="0" w:space="0" w:color="auto"/>
                <w:left w:val="none" w:sz="0" w:space="0" w:color="auto"/>
                <w:bottom w:val="none" w:sz="0" w:space="0" w:color="auto"/>
                <w:right w:val="none" w:sz="0" w:space="0" w:color="auto"/>
              </w:divBdr>
            </w:div>
            <w:div w:id="554125681">
              <w:marLeft w:val="0"/>
              <w:marRight w:val="0"/>
              <w:marTop w:val="0"/>
              <w:marBottom w:val="0"/>
              <w:divBdr>
                <w:top w:val="none" w:sz="0" w:space="0" w:color="auto"/>
                <w:left w:val="none" w:sz="0" w:space="0" w:color="auto"/>
                <w:bottom w:val="none" w:sz="0" w:space="0" w:color="auto"/>
                <w:right w:val="none" w:sz="0" w:space="0" w:color="auto"/>
              </w:divBdr>
            </w:div>
            <w:div w:id="11123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1373">
      <w:bodyDiv w:val="1"/>
      <w:marLeft w:val="0"/>
      <w:marRight w:val="0"/>
      <w:marTop w:val="0"/>
      <w:marBottom w:val="0"/>
      <w:divBdr>
        <w:top w:val="none" w:sz="0" w:space="0" w:color="auto"/>
        <w:left w:val="none" w:sz="0" w:space="0" w:color="auto"/>
        <w:bottom w:val="none" w:sz="0" w:space="0" w:color="auto"/>
        <w:right w:val="none" w:sz="0" w:space="0" w:color="auto"/>
      </w:divBdr>
      <w:divsChild>
        <w:div w:id="1476675382">
          <w:marLeft w:val="0"/>
          <w:marRight w:val="0"/>
          <w:marTop w:val="0"/>
          <w:marBottom w:val="0"/>
          <w:divBdr>
            <w:top w:val="none" w:sz="0" w:space="0" w:color="auto"/>
            <w:left w:val="none" w:sz="0" w:space="0" w:color="auto"/>
            <w:bottom w:val="none" w:sz="0" w:space="0" w:color="auto"/>
            <w:right w:val="none" w:sz="0" w:space="0" w:color="auto"/>
          </w:divBdr>
          <w:divsChild>
            <w:div w:id="3792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93051">
      <w:bodyDiv w:val="1"/>
      <w:marLeft w:val="0"/>
      <w:marRight w:val="0"/>
      <w:marTop w:val="0"/>
      <w:marBottom w:val="0"/>
      <w:divBdr>
        <w:top w:val="none" w:sz="0" w:space="0" w:color="auto"/>
        <w:left w:val="none" w:sz="0" w:space="0" w:color="auto"/>
        <w:bottom w:val="none" w:sz="0" w:space="0" w:color="auto"/>
        <w:right w:val="none" w:sz="0" w:space="0" w:color="auto"/>
      </w:divBdr>
      <w:divsChild>
        <w:div w:id="465584593">
          <w:marLeft w:val="0"/>
          <w:marRight w:val="0"/>
          <w:marTop w:val="0"/>
          <w:marBottom w:val="0"/>
          <w:divBdr>
            <w:top w:val="none" w:sz="0" w:space="0" w:color="auto"/>
            <w:left w:val="none" w:sz="0" w:space="0" w:color="auto"/>
            <w:bottom w:val="none" w:sz="0" w:space="0" w:color="auto"/>
            <w:right w:val="none" w:sz="0" w:space="0" w:color="auto"/>
          </w:divBdr>
        </w:div>
      </w:divsChild>
    </w:div>
    <w:div w:id="377322239">
      <w:bodyDiv w:val="1"/>
      <w:marLeft w:val="0"/>
      <w:marRight w:val="0"/>
      <w:marTop w:val="0"/>
      <w:marBottom w:val="0"/>
      <w:divBdr>
        <w:top w:val="none" w:sz="0" w:space="0" w:color="auto"/>
        <w:left w:val="none" w:sz="0" w:space="0" w:color="auto"/>
        <w:bottom w:val="none" w:sz="0" w:space="0" w:color="auto"/>
        <w:right w:val="none" w:sz="0" w:space="0" w:color="auto"/>
      </w:divBdr>
      <w:divsChild>
        <w:div w:id="1406104218">
          <w:marLeft w:val="0"/>
          <w:marRight w:val="0"/>
          <w:marTop w:val="0"/>
          <w:marBottom w:val="0"/>
          <w:divBdr>
            <w:top w:val="none" w:sz="0" w:space="0" w:color="auto"/>
            <w:left w:val="none" w:sz="0" w:space="0" w:color="auto"/>
            <w:bottom w:val="none" w:sz="0" w:space="0" w:color="auto"/>
            <w:right w:val="none" w:sz="0" w:space="0" w:color="auto"/>
          </w:divBdr>
        </w:div>
      </w:divsChild>
    </w:div>
    <w:div w:id="386536065">
      <w:bodyDiv w:val="1"/>
      <w:marLeft w:val="0"/>
      <w:marRight w:val="0"/>
      <w:marTop w:val="0"/>
      <w:marBottom w:val="0"/>
      <w:divBdr>
        <w:top w:val="none" w:sz="0" w:space="0" w:color="auto"/>
        <w:left w:val="none" w:sz="0" w:space="0" w:color="auto"/>
        <w:bottom w:val="none" w:sz="0" w:space="0" w:color="auto"/>
        <w:right w:val="none" w:sz="0" w:space="0" w:color="auto"/>
      </w:divBdr>
    </w:div>
    <w:div w:id="453449381">
      <w:bodyDiv w:val="1"/>
      <w:marLeft w:val="0"/>
      <w:marRight w:val="0"/>
      <w:marTop w:val="0"/>
      <w:marBottom w:val="0"/>
      <w:divBdr>
        <w:top w:val="none" w:sz="0" w:space="0" w:color="auto"/>
        <w:left w:val="none" w:sz="0" w:space="0" w:color="auto"/>
        <w:bottom w:val="none" w:sz="0" w:space="0" w:color="auto"/>
        <w:right w:val="none" w:sz="0" w:space="0" w:color="auto"/>
      </w:divBdr>
    </w:div>
    <w:div w:id="538205240">
      <w:bodyDiv w:val="1"/>
      <w:marLeft w:val="0"/>
      <w:marRight w:val="0"/>
      <w:marTop w:val="0"/>
      <w:marBottom w:val="0"/>
      <w:divBdr>
        <w:top w:val="none" w:sz="0" w:space="0" w:color="auto"/>
        <w:left w:val="none" w:sz="0" w:space="0" w:color="auto"/>
        <w:bottom w:val="none" w:sz="0" w:space="0" w:color="auto"/>
        <w:right w:val="none" w:sz="0" w:space="0" w:color="auto"/>
      </w:divBdr>
    </w:div>
    <w:div w:id="588271920">
      <w:bodyDiv w:val="1"/>
      <w:marLeft w:val="0"/>
      <w:marRight w:val="0"/>
      <w:marTop w:val="0"/>
      <w:marBottom w:val="0"/>
      <w:divBdr>
        <w:top w:val="none" w:sz="0" w:space="0" w:color="auto"/>
        <w:left w:val="none" w:sz="0" w:space="0" w:color="auto"/>
        <w:bottom w:val="none" w:sz="0" w:space="0" w:color="auto"/>
        <w:right w:val="none" w:sz="0" w:space="0" w:color="auto"/>
      </w:divBdr>
    </w:div>
    <w:div w:id="626083146">
      <w:bodyDiv w:val="1"/>
      <w:marLeft w:val="0"/>
      <w:marRight w:val="0"/>
      <w:marTop w:val="0"/>
      <w:marBottom w:val="0"/>
      <w:divBdr>
        <w:top w:val="none" w:sz="0" w:space="0" w:color="auto"/>
        <w:left w:val="none" w:sz="0" w:space="0" w:color="auto"/>
        <w:bottom w:val="none" w:sz="0" w:space="0" w:color="auto"/>
        <w:right w:val="none" w:sz="0" w:space="0" w:color="auto"/>
      </w:divBdr>
    </w:div>
    <w:div w:id="777872782">
      <w:bodyDiv w:val="1"/>
      <w:marLeft w:val="0"/>
      <w:marRight w:val="0"/>
      <w:marTop w:val="0"/>
      <w:marBottom w:val="0"/>
      <w:divBdr>
        <w:top w:val="none" w:sz="0" w:space="0" w:color="auto"/>
        <w:left w:val="none" w:sz="0" w:space="0" w:color="auto"/>
        <w:bottom w:val="none" w:sz="0" w:space="0" w:color="auto"/>
        <w:right w:val="none" w:sz="0" w:space="0" w:color="auto"/>
      </w:divBdr>
      <w:divsChild>
        <w:div w:id="861164611">
          <w:marLeft w:val="0"/>
          <w:marRight w:val="0"/>
          <w:marTop w:val="0"/>
          <w:marBottom w:val="0"/>
          <w:divBdr>
            <w:top w:val="none" w:sz="0" w:space="0" w:color="auto"/>
            <w:left w:val="none" w:sz="0" w:space="0" w:color="auto"/>
            <w:bottom w:val="none" w:sz="0" w:space="0" w:color="auto"/>
            <w:right w:val="none" w:sz="0" w:space="0" w:color="auto"/>
          </w:divBdr>
        </w:div>
      </w:divsChild>
    </w:div>
    <w:div w:id="856843250">
      <w:bodyDiv w:val="1"/>
      <w:marLeft w:val="0"/>
      <w:marRight w:val="0"/>
      <w:marTop w:val="0"/>
      <w:marBottom w:val="0"/>
      <w:divBdr>
        <w:top w:val="none" w:sz="0" w:space="0" w:color="auto"/>
        <w:left w:val="none" w:sz="0" w:space="0" w:color="auto"/>
        <w:bottom w:val="none" w:sz="0" w:space="0" w:color="auto"/>
        <w:right w:val="none" w:sz="0" w:space="0" w:color="auto"/>
      </w:divBdr>
      <w:divsChild>
        <w:div w:id="1126041371">
          <w:marLeft w:val="0"/>
          <w:marRight w:val="0"/>
          <w:marTop w:val="0"/>
          <w:marBottom w:val="0"/>
          <w:divBdr>
            <w:top w:val="none" w:sz="0" w:space="0" w:color="auto"/>
            <w:left w:val="none" w:sz="0" w:space="0" w:color="auto"/>
            <w:bottom w:val="none" w:sz="0" w:space="0" w:color="auto"/>
            <w:right w:val="none" w:sz="0" w:space="0" w:color="auto"/>
          </w:divBdr>
        </w:div>
      </w:divsChild>
    </w:div>
    <w:div w:id="1067385119">
      <w:bodyDiv w:val="1"/>
      <w:marLeft w:val="0"/>
      <w:marRight w:val="0"/>
      <w:marTop w:val="0"/>
      <w:marBottom w:val="0"/>
      <w:divBdr>
        <w:top w:val="none" w:sz="0" w:space="0" w:color="auto"/>
        <w:left w:val="none" w:sz="0" w:space="0" w:color="auto"/>
        <w:bottom w:val="none" w:sz="0" w:space="0" w:color="auto"/>
        <w:right w:val="none" w:sz="0" w:space="0" w:color="auto"/>
      </w:divBdr>
      <w:divsChild>
        <w:div w:id="1973095803">
          <w:marLeft w:val="0"/>
          <w:marRight w:val="0"/>
          <w:marTop w:val="0"/>
          <w:marBottom w:val="0"/>
          <w:divBdr>
            <w:top w:val="none" w:sz="0" w:space="0" w:color="auto"/>
            <w:left w:val="none" w:sz="0" w:space="0" w:color="auto"/>
            <w:bottom w:val="none" w:sz="0" w:space="0" w:color="auto"/>
            <w:right w:val="none" w:sz="0" w:space="0" w:color="auto"/>
          </w:divBdr>
          <w:divsChild>
            <w:div w:id="275213334">
              <w:marLeft w:val="0"/>
              <w:marRight w:val="0"/>
              <w:marTop w:val="0"/>
              <w:marBottom w:val="0"/>
              <w:divBdr>
                <w:top w:val="none" w:sz="0" w:space="0" w:color="auto"/>
                <w:left w:val="none" w:sz="0" w:space="0" w:color="auto"/>
                <w:bottom w:val="none" w:sz="0" w:space="0" w:color="auto"/>
                <w:right w:val="none" w:sz="0" w:space="0" w:color="auto"/>
              </w:divBdr>
            </w:div>
            <w:div w:id="771324062">
              <w:marLeft w:val="0"/>
              <w:marRight w:val="0"/>
              <w:marTop w:val="0"/>
              <w:marBottom w:val="0"/>
              <w:divBdr>
                <w:top w:val="none" w:sz="0" w:space="0" w:color="auto"/>
                <w:left w:val="none" w:sz="0" w:space="0" w:color="auto"/>
                <w:bottom w:val="none" w:sz="0" w:space="0" w:color="auto"/>
                <w:right w:val="none" w:sz="0" w:space="0" w:color="auto"/>
              </w:divBdr>
            </w:div>
            <w:div w:id="1127940142">
              <w:marLeft w:val="0"/>
              <w:marRight w:val="0"/>
              <w:marTop w:val="0"/>
              <w:marBottom w:val="0"/>
              <w:divBdr>
                <w:top w:val="none" w:sz="0" w:space="0" w:color="auto"/>
                <w:left w:val="none" w:sz="0" w:space="0" w:color="auto"/>
                <w:bottom w:val="none" w:sz="0" w:space="0" w:color="auto"/>
                <w:right w:val="none" w:sz="0" w:space="0" w:color="auto"/>
              </w:divBdr>
            </w:div>
            <w:div w:id="1549024523">
              <w:marLeft w:val="0"/>
              <w:marRight w:val="0"/>
              <w:marTop w:val="0"/>
              <w:marBottom w:val="0"/>
              <w:divBdr>
                <w:top w:val="none" w:sz="0" w:space="0" w:color="auto"/>
                <w:left w:val="none" w:sz="0" w:space="0" w:color="auto"/>
                <w:bottom w:val="none" w:sz="0" w:space="0" w:color="auto"/>
                <w:right w:val="none" w:sz="0" w:space="0" w:color="auto"/>
              </w:divBdr>
            </w:div>
            <w:div w:id="1703435443">
              <w:marLeft w:val="0"/>
              <w:marRight w:val="0"/>
              <w:marTop w:val="0"/>
              <w:marBottom w:val="0"/>
              <w:divBdr>
                <w:top w:val="none" w:sz="0" w:space="0" w:color="auto"/>
                <w:left w:val="none" w:sz="0" w:space="0" w:color="auto"/>
                <w:bottom w:val="none" w:sz="0" w:space="0" w:color="auto"/>
                <w:right w:val="none" w:sz="0" w:space="0" w:color="auto"/>
              </w:divBdr>
            </w:div>
            <w:div w:id="19883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6">
      <w:bodyDiv w:val="1"/>
      <w:marLeft w:val="0"/>
      <w:marRight w:val="0"/>
      <w:marTop w:val="0"/>
      <w:marBottom w:val="0"/>
      <w:divBdr>
        <w:top w:val="none" w:sz="0" w:space="0" w:color="auto"/>
        <w:left w:val="none" w:sz="0" w:space="0" w:color="auto"/>
        <w:bottom w:val="none" w:sz="0" w:space="0" w:color="auto"/>
        <w:right w:val="none" w:sz="0" w:space="0" w:color="auto"/>
      </w:divBdr>
      <w:divsChild>
        <w:div w:id="2060203500">
          <w:marLeft w:val="0"/>
          <w:marRight w:val="0"/>
          <w:marTop w:val="0"/>
          <w:marBottom w:val="0"/>
          <w:divBdr>
            <w:top w:val="none" w:sz="0" w:space="0" w:color="auto"/>
            <w:left w:val="none" w:sz="0" w:space="0" w:color="auto"/>
            <w:bottom w:val="none" w:sz="0" w:space="0" w:color="auto"/>
            <w:right w:val="none" w:sz="0" w:space="0" w:color="auto"/>
          </w:divBdr>
          <w:divsChild>
            <w:div w:id="346831308">
              <w:marLeft w:val="0"/>
              <w:marRight w:val="0"/>
              <w:marTop w:val="0"/>
              <w:marBottom w:val="0"/>
              <w:divBdr>
                <w:top w:val="none" w:sz="0" w:space="0" w:color="auto"/>
                <w:left w:val="none" w:sz="0" w:space="0" w:color="auto"/>
                <w:bottom w:val="none" w:sz="0" w:space="0" w:color="auto"/>
                <w:right w:val="none" w:sz="0" w:space="0" w:color="auto"/>
              </w:divBdr>
            </w:div>
            <w:div w:id="1151674324">
              <w:marLeft w:val="0"/>
              <w:marRight w:val="0"/>
              <w:marTop w:val="0"/>
              <w:marBottom w:val="0"/>
              <w:divBdr>
                <w:top w:val="none" w:sz="0" w:space="0" w:color="auto"/>
                <w:left w:val="none" w:sz="0" w:space="0" w:color="auto"/>
                <w:bottom w:val="none" w:sz="0" w:space="0" w:color="auto"/>
                <w:right w:val="none" w:sz="0" w:space="0" w:color="auto"/>
              </w:divBdr>
            </w:div>
            <w:div w:id="1292831928">
              <w:marLeft w:val="0"/>
              <w:marRight w:val="0"/>
              <w:marTop w:val="0"/>
              <w:marBottom w:val="0"/>
              <w:divBdr>
                <w:top w:val="none" w:sz="0" w:space="0" w:color="auto"/>
                <w:left w:val="none" w:sz="0" w:space="0" w:color="auto"/>
                <w:bottom w:val="none" w:sz="0" w:space="0" w:color="auto"/>
                <w:right w:val="none" w:sz="0" w:space="0" w:color="auto"/>
              </w:divBdr>
            </w:div>
            <w:div w:id="1446117958">
              <w:marLeft w:val="0"/>
              <w:marRight w:val="0"/>
              <w:marTop w:val="0"/>
              <w:marBottom w:val="0"/>
              <w:divBdr>
                <w:top w:val="none" w:sz="0" w:space="0" w:color="auto"/>
                <w:left w:val="none" w:sz="0" w:space="0" w:color="auto"/>
                <w:bottom w:val="none" w:sz="0" w:space="0" w:color="auto"/>
                <w:right w:val="none" w:sz="0" w:space="0" w:color="auto"/>
              </w:divBdr>
            </w:div>
            <w:div w:id="1782724143">
              <w:marLeft w:val="0"/>
              <w:marRight w:val="0"/>
              <w:marTop w:val="0"/>
              <w:marBottom w:val="0"/>
              <w:divBdr>
                <w:top w:val="none" w:sz="0" w:space="0" w:color="auto"/>
                <w:left w:val="none" w:sz="0" w:space="0" w:color="auto"/>
                <w:bottom w:val="none" w:sz="0" w:space="0" w:color="auto"/>
                <w:right w:val="none" w:sz="0" w:space="0" w:color="auto"/>
              </w:divBdr>
            </w:div>
            <w:div w:id="1951280124">
              <w:marLeft w:val="0"/>
              <w:marRight w:val="0"/>
              <w:marTop w:val="0"/>
              <w:marBottom w:val="0"/>
              <w:divBdr>
                <w:top w:val="none" w:sz="0" w:space="0" w:color="auto"/>
                <w:left w:val="none" w:sz="0" w:space="0" w:color="auto"/>
                <w:bottom w:val="none" w:sz="0" w:space="0" w:color="auto"/>
                <w:right w:val="none" w:sz="0" w:space="0" w:color="auto"/>
              </w:divBdr>
            </w:div>
            <w:div w:id="208306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4989">
      <w:bodyDiv w:val="1"/>
      <w:marLeft w:val="0"/>
      <w:marRight w:val="0"/>
      <w:marTop w:val="0"/>
      <w:marBottom w:val="0"/>
      <w:divBdr>
        <w:top w:val="none" w:sz="0" w:space="0" w:color="auto"/>
        <w:left w:val="none" w:sz="0" w:space="0" w:color="auto"/>
        <w:bottom w:val="none" w:sz="0" w:space="0" w:color="auto"/>
        <w:right w:val="none" w:sz="0" w:space="0" w:color="auto"/>
      </w:divBdr>
      <w:divsChild>
        <w:div w:id="1342202098">
          <w:marLeft w:val="0"/>
          <w:marRight w:val="0"/>
          <w:marTop w:val="0"/>
          <w:marBottom w:val="0"/>
          <w:divBdr>
            <w:top w:val="none" w:sz="0" w:space="0" w:color="auto"/>
            <w:left w:val="none" w:sz="0" w:space="0" w:color="auto"/>
            <w:bottom w:val="none" w:sz="0" w:space="0" w:color="auto"/>
            <w:right w:val="none" w:sz="0" w:space="0" w:color="auto"/>
          </w:divBdr>
          <w:divsChild>
            <w:div w:id="668171181">
              <w:marLeft w:val="0"/>
              <w:marRight w:val="0"/>
              <w:marTop w:val="0"/>
              <w:marBottom w:val="0"/>
              <w:divBdr>
                <w:top w:val="none" w:sz="0" w:space="0" w:color="auto"/>
                <w:left w:val="none" w:sz="0" w:space="0" w:color="auto"/>
                <w:bottom w:val="none" w:sz="0" w:space="0" w:color="auto"/>
                <w:right w:val="none" w:sz="0" w:space="0" w:color="auto"/>
              </w:divBdr>
            </w:div>
            <w:div w:id="1870560756">
              <w:marLeft w:val="0"/>
              <w:marRight w:val="0"/>
              <w:marTop w:val="0"/>
              <w:marBottom w:val="0"/>
              <w:divBdr>
                <w:top w:val="none" w:sz="0" w:space="0" w:color="auto"/>
                <w:left w:val="none" w:sz="0" w:space="0" w:color="auto"/>
                <w:bottom w:val="none" w:sz="0" w:space="0" w:color="auto"/>
                <w:right w:val="none" w:sz="0" w:space="0" w:color="auto"/>
              </w:divBdr>
            </w:div>
            <w:div w:id="18744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69920">
      <w:bodyDiv w:val="1"/>
      <w:marLeft w:val="0"/>
      <w:marRight w:val="0"/>
      <w:marTop w:val="0"/>
      <w:marBottom w:val="0"/>
      <w:divBdr>
        <w:top w:val="none" w:sz="0" w:space="0" w:color="auto"/>
        <w:left w:val="none" w:sz="0" w:space="0" w:color="auto"/>
        <w:bottom w:val="none" w:sz="0" w:space="0" w:color="auto"/>
        <w:right w:val="none" w:sz="0" w:space="0" w:color="auto"/>
      </w:divBdr>
      <w:divsChild>
        <w:div w:id="357313477">
          <w:marLeft w:val="0"/>
          <w:marRight w:val="0"/>
          <w:marTop w:val="0"/>
          <w:marBottom w:val="0"/>
          <w:divBdr>
            <w:top w:val="none" w:sz="0" w:space="0" w:color="auto"/>
            <w:left w:val="none" w:sz="0" w:space="0" w:color="auto"/>
            <w:bottom w:val="none" w:sz="0" w:space="0" w:color="auto"/>
            <w:right w:val="none" w:sz="0" w:space="0" w:color="auto"/>
          </w:divBdr>
        </w:div>
      </w:divsChild>
    </w:div>
    <w:div w:id="1148280843">
      <w:bodyDiv w:val="1"/>
      <w:marLeft w:val="0"/>
      <w:marRight w:val="0"/>
      <w:marTop w:val="0"/>
      <w:marBottom w:val="0"/>
      <w:divBdr>
        <w:top w:val="none" w:sz="0" w:space="0" w:color="auto"/>
        <w:left w:val="none" w:sz="0" w:space="0" w:color="auto"/>
        <w:bottom w:val="none" w:sz="0" w:space="0" w:color="auto"/>
        <w:right w:val="none" w:sz="0" w:space="0" w:color="auto"/>
      </w:divBdr>
      <w:divsChild>
        <w:div w:id="3899316">
          <w:marLeft w:val="0"/>
          <w:marRight w:val="0"/>
          <w:marTop w:val="0"/>
          <w:marBottom w:val="0"/>
          <w:divBdr>
            <w:top w:val="none" w:sz="0" w:space="0" w:color="auto"/>
            <w:left w:val="none" w:sz="0" w:space="0" w:color="auto"/>
            <w:bottom w:val="none" w:sz="0" w:space="0" w:color="auto"/>
            <w:right w:val="none" w:sz="0" w:space="0" w:color="auto"/>
          </w:divBdr>
        </w:div>
      </w:divsChild>
    </w:div>
    <w:div w:id="1204518055">
      <w:bodyDiv w:val="1"/>
      <w:marLeft w:val="0"/>
      <w:marRight w:val="0"/>
      <w:marTop w:val="0"/>
      <w:marBottom w:val="0"/>
      <w:divBdr>
        <w:top w:val="none" w:sz="0" w:space="0" w:color="auto"/>
        <w:left w:val="none" w:sz="0" w:space="0" w:color="auto"/>
        <w:bottom w:val="none" w:sz="0" w:space="0" w:color="auto"/>
        <w:right w:val="none" w:sz="0" w:space="0" w:color="auto"/>
      </w:divBdr>
      <w:divsChild>
        <w:div w:id="765492451">
          <w:marLeft w:val="0"/>
          <w:marRight w:val="0"/>
          <w:marTop w:val="0"/>
          <w:marBottom w:val="0"/>
          <w:divBdr>
            <w:top w:val="none" w:sz="0" w:space="0" w:color="auto"/>
            <w:left w:val="none" w:sz="0" w:space="0" w:color="auto"/>
            <w:bottom w:val="none" w:sz="0" w:space="0" w:color="auto"/>
            <w:right w:val="none" w:sz="0" w:space="0" w:color="auto"/>
          </w:divBdr>
          <w:divsChild>
            <w:div w:id="1478184002">
              <w:marLeft w:val="0"/>
              <w:marRight w:val="0"/>
              <w:marTop w:val="0"/>
              <w:marBottom w:val="0"/>
              <w:divBdr>
                <w:top w:val="none" w:sz="0" w:space="0" w:color="auto"/>
                <w:left w:val="none" w:sz="0" w:space="0" w:color="auto"/>
                <w:bottom w:val="none" w:sz="0" w:space="0" w:color="auto"/>
                <w:right w:val="none" w:sz="0" w:space="0" w:color="auto"/>
              </w:divBdr>
            </w:div>
            <w:div w:id="17309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48371">
      <w:bodyDiv w:val="1"/>
      <w:marLeft w:val="0"/>
      <w:marRight w:val="0"/>
      <w:marTop w:val="0"/>
      <w:marBottom w:val="0"/>
      <w:divBdr>
        <w:top w:val="none" w:sz="0" w:space="0" w:color="auto"/>
        <w:left w:val="none" w:sz="0" w:space="0" w:color="auto"/>
        <w:bottom w:val="none" w:sz="0" w:space="0" w:color="auto"/>
        <w:right w:val="none" w:sz="0" w:space="0" w:color="auto"/>
      </w:divBdr>
      <w:divsChild>
        <w:div w:id="1645550202">
          <w:marLeft w:val="0"/>
          <w:marRight w:val="0"/>
          <w:marTop w:val="0"/>
          <w:marBottom w:val="0"/>
          <w:divBdr>
            <w:top w:val="none" w:sz="0" w:space="0" w:color="auto"/>
            <w:left w:val="none" w:sz="0" w:space="0" w:color="auto"/>
            <w:bottom w:val="none" w:sz="0" w:space="0" w:color="auto"/>
            <w:right w:val="none" w:sz="0" w:space="0" w:color="auto"/>
          </w:divBdr>
          <w:divsChild>
            <w:div w:id="153690283">
              <w:marLeft w:val="0"/>
              <w:marRight w:val="0"/>
              <w:marTop w:val="0"/>
              <w:marBottom w:val="0"/>
              <w:divBdr>
                <w:top w:val="none" w:sz="0" w:space="0" w:color="auto"/>
                <w:left w:val="none" w:sz="0" w:space="0" w:color="auto"/>
                <w:bottom w:val="none" w:sz="0" w:space="0" w:color="auto"/>
                <w:right w:val="none" w:sz="0" w:space="0" w:color="auto"/>
              </w:divBdr>
            </w:div>
            <w:div w:id="21215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7695">
      <w:bodyDiv w:val="1"/>
      <w:marLeft w:val="0"/>
      <w:marRight w:val="0"/>
      <w:marTop w:val="0"/>
      <w:marBottom w:val="0"/>
      <w:divBdr>
        <w:top w:val="none" w:sz="0" w:space="0" w:color="auto"/>
        <w:left w:val="none" w:sz="0" w:space="0" w:color="auto"/>
        <w:bottom w:val="none" w:sz="0" w:space="0" w:color="auto"/>
        <w:right w:val="none" w:sz="0" w:space="0" w:color="auto"/>
      </w:divBdr>
      <w:divsChild>
        <w:div w:id="2143425990">
          <w:marLeft w:val="0"/>
          <w:marRight w:val="0"/>
          <w:marTop w:val="0"/>
          <w:marBottom w:val="0"/>
          <w:divBdr>
            <w:top w:val="none" w:sz="0" w:space="0" w:color="auto"/>
            <w:left w:val="none" w:sz="0" w:space="0" w:color="auto"/>
            <w:bottom w:val="none" w:sz="0" w:space="0" w:color="auto"/>
            <w:right w:val="none" w:sz="0" w:space="0" w:color="auto"/>
          </w:divBdr>
          <w:divsChild>
            <w:div w:id="599029782">
              <w:marLeft w:val="0"/>
              <w:marRight w:val="0"/>
              <w:marTop w:val="0"/>
              <w:marBottom w:val="0"/>
              <w:divBdr>
                <w:top w:val="none" w:sz="0" w:space="0" w:color="auto"/>
                <w:left w:val="none" w:sz="0" w:space="0" w:color="auto"/>
                <w:bottom w:val="none" w:sz="0" w:space="0" w:color="auto"/>
                <w:right w:val="none" w:sz="0" w:space="0" w:color="auto"/>
              </w:divBdr>
            </w:div>
            <w:div w:id="942224792">
              <w:marLeft w:val="0"/>
              <w:marRight w:val="0"/>
              <w:marTop w:val="0"/>
              <w:marBottom w:val="0"/>
              <w:divBdr>
                <w:top w:val="none" w:sz="0" w:space="0" w:color="auto"/>
                <w:left w:val="none" w:sz="0" w:space="0" w:color="auto"/>
                <w:bottom w:val="none" w:sz="0" w:space="0" w:color="auto"/>
                <w:right w:val="none" w:sz="0" w:space="0" w:color="auto"/>
              </w:divBdr>
            </w:div>
            <w:div w:id="185487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618">
      <w:bodyDiv w:val="1"/>
      <w:marLeft w:val="0"/>
      <w:marRight w:val="0"/>
      <w:marTop w:val="0"/>
      <w:marBottom w:val="0"/>
      <w:divBdr>
        <w:top w:val="none" w:sz="0" w:space="0" w:color="auto"/>
        <w:left w:val="none" w:sz="0" w:space="0" w:color="auto"/>
        <w:bottom w:val="none" w:sz="0" w:space="0" w:color="auto"/>
        <w:right w:val="none" w:sz="0" w:space="0" w:color="auto"/>
      </w:divBdr>
    </w:div>
    <w:div w:id="1503737749">
      <w:bodyDiv w:val="1"/>
      <w:marLeft w:val="0"/>
      <w:marRight w:val="0"/>
      <w:marTop w:val="0"/>
      <w:marBottom w:val="0"/>
      <w:divBdr>
        <w:top w:val="none" w:sz="0" w:space="0" w:color="auto"/>
        <w:left w:val="none" w:sz="0" w:space="0" w:color="auto"/>
        <w:bottom w:val="none" w:sz="0" w:space="0" w:color="auto"/>
        <w:right w:val="none" w:sz="0" w:space="0" w:color="auto"/>
      </w:divBdr>
    </w:div>
    <w:div w:id="1590624451">
      <w:bodyDiv w:val="1"/>
      <w:marLeft w:val="0"/>
      <w:marRight w:val="0"/>
      <w:marTop w:val="0"/>
      <w:marBottom w:val="0"/>
      <w:divBdr>
        <w:top w:val="none" w:sz="0" w:space="0" w:color="auto"/>
        <w:left w:val="none" w:sz="0" w:space="0" w:color="auto"/>
        <w:bottom w:val="none" w:sz="0" w:space="0" w:color="auto"/>
        <w:right w:val="none" w:sz="0" w:space="0" w:color="auto"/>
      </w:divBdr>
      <w:divsChild>
        <w:div w:id="1617176364">
          <w:marLeft w:val="0"/>
          <w:marRight w:val="0"/>
          <w:marTop w:val="0"/>
          <w:marBottom w:val="0"/>
          <w:divBdr>
            <w:top w:val="none" w:sz="0" w:space="0" w:color="auto"/>
            <w:left w:val="none" w:sz="0" w:space="0" w:color="auto"/>
            <w:bottom w:val="none" w:sz="0" w:space="0" w:color="auto"/>
            <w:right w:val="none" w:sz="0" w:space="0" w:color="auto"/>
          </w:divBdr>
          <w:divsChild>
            <w:div w:id="38434318">
              <w:marLeft w:val="0"/>
              <w:marRight w:val="0"/>
              <w:marTop w:val="0"/>
              <w:marBottom w:val="0"/>
              <w:divBdr>
                <w:top w:val="none" w:sz="0" w:space="0" w:color="auto"/>
                <w:left w:val="none" w:sz="0" w:space="0" w:color="auto"/>
                <w:bottom w:val="none" w:sz="0" w:space="0" w:color="auto"/>
                <w:right w:val="none" w:sz="0" w:space="0" w:color="auto"/>
              </w:divBdr>
            </w:div>
            <w:div w:id="6003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0498">
      <w:bodyDiv w:val="1"/>
      <w:marLeft w:val="0"/>
      <w:marRight w:val="0"/>
      <w:marTop w:val="0"/>
      <w:marBottom w:val="0"/>
      <w:divBdr>
        <w:top w:val="none" w:sz="0" w:space="0" w:color="auto"/>
        <w:left w:val="none" w:sz="0" w:space="0" w:color="auto"/>
        <w:bottom w:val="none" w:sz="0" w:space="0" w:color="auto"/>
        <w:right w:val="none" w:sz="0" w:space="0" w:color="auto"/>
      </w:divBdr>
      <w:divsChild>
        <w:div w:id="267465377">
          <w:marLeft w:val="0"/>
          <w:marRight w:val="0"/>
          <w:marTop w:val="0"/>
          <w:marBottom w:val="0"/>
          <w:divBdr>
            <w:top w:val="none" w:sz="0" w:space="0" w:color="auto"/>
            <w:left w:val="none" w:sz="0" w:space="0" w:color="auto"/>
            <w:bottom w:val="none" w:sz="0" w:space="0" w:color="auto"/>
            <w:right w:val="none" w:sz="0" w:space="0" w:color="auto"/>
          </w:divBdr>
        </w:div>
      </w:divsChild>
    </w:div>
    <w:div w:id="1628468268">
      <w:bodyDiv w:val="1"/>
      <w:marLeft w:val="0"/>
      <w:marRight w:val="0"/>
      <w:marTop w:val="0"/>
      <w:marBottom w:val="0"/>
      <w:divBdr>
        <w:top w:val="none" w:sz="0" w:space="0" w:color="auto"/>
        <w:left w:val="none" w:sz="0" w:space="0" w:color="auto"/>
        <w:bottom w:val="none" w:sz="0" w:space="0" w:color="auto"/>
        <w:right w:val="none" w:sz="0" w:space="0" w:color="auto"/>
      </w:divBdr>
    </w:div>
    <w:div w:id="1666006612">
      <w:bodyDiv w:val="1"/>
      <w:marLeft w:val="0"/>
      <w:marRight w:val="0"/>
      <w:marTop w:val="0"/>
      <w:marBottom w:val="0"/>
      <w:divBdr>
        <w:top w:val="none" w:sz="0" w:space="0" w:color="auto"/>
        <w:left w:val="none" w:sz="0" w:space="0" w:color="auto"/>
        <w:bottom w:val="none" w:sz="0" w:space="0" w:color="auto"/>
        <w:right w:val="none" w:sz="0" w:space="0" w:color="auto"/>
      </w:divBdr>
      <w:divsChild>
        <w:div w:id="1221474424">
          <w:marLeft w:val="0"/>
          <w:marRight w:val="0"/>
          <w:marTop w:val="0"/>
          <w:marBottom w:val="0"/>
          <w:divBdr>
            <w:top w:val="none" w:sz="0" w:space="0" w:color="auto"/>
            <w:left w:val="none" w:sz="0" w:space="0" w:color="auto"/>
            <w:bottom w:val="none" w:sz="0" w:space="0" w:color="auto"/>
            <w:right w:val="none" w:sz="0" w:space="0" w:color="auto"/>
          </w:divBdr>
          <w:divsChild>
            <w:div w:id="14964480">
              <w:marLeft w:val="0"/>
              <w:marRight w:val="0"/>
              <w:marTop w:val="0"/>
              <w:marBottom w:val="0"/>
              <w:divBdr>
                <w:top w:val="none" w:sz="0" w:space="0" w:color="auto"/>
                <w:left w:val="none" w:sz="0" w:space="0" w:color="auto"/>
                <w:bottom w:val="none" w:sz="0" w:space="0" w:color="auto"/>
                <w:right w:val="none" w:sz="0" w:space="0" w:color="auto"/>
              </w:divBdr>
            </w:div>
            <w:div w:id="163253527">
              <w:marLeft w:val="0"/>
              <w:marRight w:val="0"/>
              <w:marTop w:val="0"/>
              <w:marBottom w:val="0"/>
              <w:divBdr>
                <w:top w:val="none" w:sz="0" w:space="0" w:color="auto"/>
                <w:left w:val="none" w:sz="0" w:space="0" w:color="auto"/>
                <w:bottom w:val="none" w:sz="0" w:space="0" w:color="auto"/>
                <w:right w:val="none" w:sz="0" w:space="0" w:color="auto"/>
              </w:divBdr>
            </w:div>
            <w:div w:id="787167135">
              <w:marLeft w:val="0"/>
              <w:marRight w:val="0"/>
              <w:marTop w:val="0"/>
              <w:marBottom w:val="0"/>
              <w:divBdr>
                <w:top w:val="none" w:sz="0" w:space="0" w:color="auto"/>
                <w:left w:val="none" w:sz="0" w:space="0" w:color="auto"/>
                <w:bottom w:val="none" w:sz="0" w:space="0" w:color="auto"/>
                <w:right w:val="none" w:sz="0" w:space="0" w:color="auto"/>
              </w:divBdr>
            </w:div>
            <w:div w:id="901019059">
              <w:marLeft w:val="0"/>
              <w:marRight w:val="0"/>
              <w:marTop w:val="0"/>
              <w:marBottom w:val="0"/>
              <w:divBdr>
                <w:top w:val="none" w:sz="0" w:space="0" w:color="auto"/>
                <w:left w:val="none" w:sz="0" w:space="0" w:color="auto"/>
                <w:bottom w:val="none" w:sz="0" w:space="0" w:color="auto"/>
                <w:right w:val="none" w:sz="0" w:space="0" w:color="auto"/>
              </w:divBdr>
            </w:div>
            <w:div w:id="179070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71989">
      <w:bodyDiv w:val="1"/>
      <w:marLeft w:val="0"/>
      <w:marRight w:val="0"/>
      <w:marTop w:val="0"/>
      <w:marBottom w:val="0"/>
      <w:divBdr>
        <w:top w:val="none" w:sz="0" w:space="0" w:color="auto"/>
        <w:left w:val="none" w:sz="0" w:space="0" w:color="auto"/>
        <w:bottom w:val="none" w:sz="0" w:space="0" w:color="auto"/>
        <w:right w:val="none" w:sz="0" w:space="0" w:color="auto"/>
      </w:divBdr>
    </w:div>
    <w:div w:id="1707021325">
      <w:bodyDiv w:val="1"/>
      <w:marLeft w:val="0"/>
      <w:marRight w:val="0"/>
      <w:marTop w:val="0"/>
      <w:marBottom w:val="0"/>
      <w:divBdr>
        <w:top w:val="none" w:sz="0" w:space="0" w:color="auto"/>
        <w:left w:val="none" w:sz="0" w:space="0" w:color="auto"/>
        <w:bottom w:val="none" w:sz="0" w:space="0" w:color="auto"/>
        <w:right w:val="none" w:sz="0" w:space="0" w:color="auto"/>
      </w:divBdr>
    </w:div>
    <w:div w:id="1709645695">
      <w:bodyDiv w:val="1"/>
      <w:marLeft w:val="0"/>
      <w:marRight w:val="0"/>
      <w:marTop w:val="0"/>
      <w:marBottom w:val="0"/>
      <w:divBdr>
        <w:top w:val="none" w:sz="0" w:space="0" w:color="auto"/>
        <w:left w:val="none" w:sz="0" w:space="0" w:color="auto"/>
        <w:bottom w:val="none" w:sz="0" w:space="0" w:color="auto"/>
        <w:right w:val="none" w:sz="0" w:space="0" w:color="auto"/>
      </w:divBdr>
      <w:divsChild>
        <w:div w:id="977031927">
          <w:marLeft w:val="0"/>
          <w:marRight w:val="0"/>
          <w:marTop w:val="0"/>
          <w:marBottom w:val="0"/>
          <w:divBdr>
            <w:top w:val="none" w:sz="0" w:space="0" w:color="auto"/>
            <w:left w:val="none" w:sz="0" w:space="0" w:color="auto"/>
            <w:bottom w:val="none" w:sz="0" w:space="0" w:color="auto"/>
            <w:right w:val="none" w:sz="0" w:space="0" w:color="auto"/>
          </w:divBdr>
          <w:divsChild>
            <w:div w:id="125514783">
              <w:marLeft w:val="0"/>
              <w:marRight w:val="0"/>
              <w:marTop w:val="0"/>
              <w:marBottom w:val="0"/>
              <w:divBdr>
                <w:top w:val="none" w:sz="0" w:space="0" w:color="auto"/>
                <w:left w:val="none" w:sz="0" w:space="0" w:color="auto"/>
                <w:bottom w:val="none" w:sz="0" w:space="0" w:color="auto"/>
                <w:right w:val="none" w:sz="0" w:space="0" w:color="auto"/>
              </w:divBdr>
            </w:div>
            <w:div w:id="237709933">
              <w:marLeft w:val="0"/>
              <w:marRight w:val="0"/>
              <w:marTop w:val="0"/>
              <w:marBottom w:val="0"/>
              <w:divBdr>
                <w:top w:val="none" w:sz="0" w:space="0" w:color="auto"/>
                <w:left w:val="none" w:sz="0" w:space="0" w:color="auto"/>
                <w:bottom w:val="none" w:sz="0" w:space="0" w:color="auto"/>
                <w:right w:val="none" w:sz="0" w:space="0" w:color="auto"/>
              </w:divBdr>
            </w:div>
            <w:div w:id="803036773">
              <w:marLeft w:val="0"/>
              <w:marRight w:val="0"/>
              <w:marTop w:val="0"/>
              <w:marBottom w:val="0"/>
              <w:divBdr>
                <w:top w:val="none" w:sz="0" w:space="0" w:color="auto"/>
                <w:left w:val="none" w:sz="0" w:space="0" w:color="auto"/>
                <w:bottom w:val="none" w:sz="0" w:space="0" w:color="auto"/>
                <w:right w:val="none" w:sz="0" w:space="0" w:color="auto"/>
              </w:divBdr>
            </w:div>
            <w:div w:id="812451504">
              <w:marLeft w:val="0"/>
              <w:marRight w:val="0"/>
              <w:marTop w:val="0"/>
              <w:marBottom w:val="0"/>
              <w:divBdr>
                <w:top w:val="none" w:sz="0" w:space="0" w:color="auto"/>
                <w:left w:val="none" w:sz="0" w:space="0" w:color="auto"/>
                <w:bottom w:val="none" w:sz="0" w:space="0" w:color="auto"/>
                <w:right w:val="none" w:sz="0" w:space="0" w:color="auto"/>
              </w:divBdr>
            </w:div>
            <w:div w:id="1718624166">
              <w:marLeft w:val="0"/>
              <w:marRight w:val="0"/>
              <w:marTop w:val="0"/>
              <w:marBottom w:val="0"/>
              <w:divBdr>
                <w:top w:val="none" w:sz="0" w:space="0" w:color="auto"/>
                <w:left w:val="none" w:sz="0" w:space="0" w:color="auto"/>
                <w:bottom w:val="none" w:sz="0" w:space="0" w:color="auto"/>
                <w:right w:val="none" w:sz="0" w:space="0" w:color="auto"/>
              </w:divBdr>
            </w:div>
            <w:div w:id="19354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2309">
      <w:bodyDiv w:val="1"/>
      <w:marLeft w:val="0"/>
      <w:marRight w:val="0"/>
      <w:marTop w:val="0"/>
      <w:marBottom w:val="0"/>
      <w:divBdr>
        <w:top w:val="none" w:sz="0" w:space="0" w:color="auto"/>
        <w:left w:val="none" w:sz="0" w:space="0" w:color="auto"/>
        <w:bottom w:val="none" w:sz="0" w:space="0" w:color="auto"/>
        <w:right w:val="none" w:sz="0" w:space="0" w:color="auto"/>
      </w:divBdr>
    </w:div>
    <w:div w:id="1719743590">
      <w:bodyDiv w:val="1"/>
      <w:marLeft w:val="0"/>
      <w:marRight w:val="0"/>
      <w:marTop w:val="0"/>
      <w:marBottom w:val="0"/>
      <w:divBdr>
        <w:top w:val="none" w:sz="0" w:space="0" w:color="auto"/>
        <w:left w:val="none" w:sz="0" w:space="0" w:color="auto"/>
        <w:bottom w:val="none" w:sz="0" w:space="0" w:color="auto"/>
        <w:right w:val="none" w:sz="0" w:space="0" w:color="auto"/>
      </w:divBdr>
      <w:divsChild>
        <w:div w:id="548036290">
          <w:marLeft w:val="0"/>
          <w:marRight w:val="0"/>
          <w:marTop w:val="0"/>
          <w:marBottom w:val="0"/>
          <w:divBdr>
            <w:top w:val="none" w:sz="0" w:space="0" w:color="auto"/>
            <w:left w:val="none" w:sz="0" w:space="0" w:color="auto"/>
            <w:bottom w:val="none" w:sz="0" w:space="0" w:color="auto"/>
            <w:right w:val="none" w:sz="0" w:space="0" w:color="auto"/>
          </w:divBdr>
        </w:div>
      </w:divsChild>
    </w:div>
    <w:div w:id="1792094853">
      <w:bodyDiv w:val="1"/>
      <w:marLeft w:val="0"/>
      <w:marRight w:val="0"/>
      <w:marTop w:val="0"/>
      <w:marBottom w:val="0"/>
      <w:divBdr>
        <w:top w:val="none" w:sz="0" w:space="0" w:color="auto"/>
        <w:left w:val="none" w:sz="0" w:space="0" w:color="auto"/>
        <w:bottom w:val="none" w:sz="0" w:space="0" w:color="auto"/>
        <w:right w:val="none" w:sz="0" w:space="0" w:color="auto"/>
      </w:divBdr>
    </w:div>
    <w:div w:id="1857694826">
      <w:bodyDiv w:val="1"/>
      <w:marLeft w:val="0"/>
      <w:marRight w:val="0"/>
      <w:marTop w:val="0"/>
      <w:marBottom w:val="0"/>
      <w:divBdr>
        <w:top w:val="none" w:sz="0" w:space="0" w:color="auto"/>
        <w:left w:val="none" w:sz="0" w:space="0" w:color="auto"/>
        <w:bottom w:val="none" w:sz="0" w:space="0" w:color="auto"/>
        <w:right w:val="none" w:sz="0" w:space="0" w:color="auto"/>
      </w:divBdr>
    </w:div>
    <w:div w:id="1997605648">
      <w:bodyDiv w:val="1"/>
      <w:marLeft w:val="0"/>
      <w:marRight w:val="0"/>
      <w:marTop w:val="0"/>
      <w:marBottom w:val="0"/>
      <w:divBdr>
        <w:top w:val="none" w:sz="0" w:space="0" w:color="auto"/>
        <w:left w:val="none" w:sz="0" w:space="0" w:color="auto"/>
        <w:bottom w:val="none" w:sz="0" w:space="0" w:color="auto"/>
        <w:right w:val="none" w:sz="0" w:space="0" w:color="auto"/>
      </w:divBdr>
    </w:div>
    <w:div w:id="2012950757">
      <w:bodyDiv w:val="1"/>
      <w:marLeft w:val="0"/>
      <w:marRight w:val="0"/>
      <w:marTop w:val="0"/>
      <w:marBottom w:val="0"/>
      <w:divBdr>
        <w:top w:val="none" w:sz="0" w:space="0" w:color="auto"/>
        <w:left w:val="none" w:sz="0" w:space="0" w:color="auto"/>
        <w:bottom w:val="none" w:sz="0" w:space="0" w:color="auto"/>
        <w:right w:val="none" w:sz="0" w:space="0" w:color="auto"/>
      </w:divBdr>
      <w:divsChild>
        <w:div w:id="1273052307">
          <w:marLeft w:val="0"/>
          <w:marRight w:val="0"/>
          <w:marTop w:val="0"/>
          <w:marBottom w:val="0"/>
          <w:divBdr>
            <w:top w:val="none" w:sz="0" w:space="0" w:color="auto"/>
            <w:left w:val="none" w:sz="0" w:space="0" w:color="auto"/>
            <w:bottom w:val="none" w:sz="0" w:space="0" w:color="auto"/>
            <w:right w:val="none" w:sz="0" w:space="0" w:color="auto"/>
          </w:divBdr>
        </w:div>
      </w:divsChild>
    </w:div>
    <w:div w:id="2028823073">
      <w:bodyDiv w:val="1"/>
      <w:marLeft w:val="0"/>
      <w:marRight w:val="0"/>
      <w:marTop w:val="0"/>
      <w:marBottom w:val="0"/>
      <w:divBdr>
        <w:top w:val="none" w:sz="0" w:space="0" w:color="auto"/>
        <w:left w:val="none" w:sz="0" w:space="0" w:color="auto"/>
        <w:bottom w:val="none" w:sz="0" w:space="0" w:color="auto"/>
        <w:right w:val="none" w:sz="0" w:space="0" w:color="auto"/>
      </w:divBdr>
      <w:divsChild>
        <w:div w:id="300693754">
          <w:marLeft w:val="0"/>
          <w:marRight w:val="0"/>
          <w:marTop w:val="0"/>
          <w:marBottom w:val="0"/>
          <w:divBdr>
            <w:top w:val="none" w:sz="0" w:space="0" w:color="auto"/>
            <w:left w:val="none" w:sz="0" w:space="0" w:color="auto"/>
            <w:bottom w:val="none" w:sz="0" w:space="0" w:color="auto"/>
            <w:right w:val="none" w:sz="0" w:space="0" w:color="auto"/>
          </w:divBdr>
        </w:div>
      </w:divsChild>
    </w:div>
    <w:div w:id="211408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ud.gauchon@edhec-risk.com" TargetMode="External"/><Relationship Id="rId18" Type="http://schemas.openxmlformats.org/officeDocument/2006/relationships/hyperlink" Target="https://risk.edhec.edu/edhec-risk-investment-solu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risk.edhec.edu/bond-risk-premium-monitor" TargetMode="External"/><Relationship Id="rId2" Type="http://schemas.openxmlformats.org/officeDocument/2006/relationships/numbering" Target="numbering.xml"/><Relationship Id="rId16" Type="http://schemas.openxmlformats.org/officeDocument/2006/relationships/hyperlink" Target="https://risk.edhec.edu/indices-investment-solu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https://risk.edhec.edu"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isk.edhec.edu/sites/risk/files/pdf/edhec_european_etf_smart_beta_and_factor_investing_survey_2019_.pdf" TargetMode="External"/><Relationship Id="rId14" Type="http://schemas.openxmlformats.org/officeDocument/2006/relationships/hyperlink" Target="http://www.edhec-ris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4D098-0410-4419-8AFB-AC11FD5A7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1724</Words>
  <Characters>9485</Characters>
  <Application>Microsoft Office Word</Application>
  <DocSecurity>0</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Proposition de texte pour le communiqué de presse Misys plc concernant la distinction reçue par Noël Amenc</vt:lpstr>
      <vt:lpstr>Proposition de texte pour le communiqué de presse Misys plc concernant la distinction reçue par Noël Amenc</vt:lpstr>
    </vt:vector>
  </TitlesOfParts>
  <Company>misys</Company>
  <LinksUpToDate>false</LinksUpToDate>
  <CharactersWithSpaces>11187</CharactersWithSpaces>
  <SharedDoc>false</SharedDoc>
  <HLinks>
    <vt:vector size="36" baseType="variant">
      <vt:variant>
        <vt:i4>2752624</vt:i4>
      </vt:variant>
      <vt:variant>
        <vt:i4>15</vt:i4>
      </vt:variant>
      <vt:variant>
        <vt:i4>0</vt:i4>
      </vt:variant>
      <vt:variant>
        <vt:i4>5</vt:i4>
      </vt:variant>
      <vt:variant>
        <vt:lpwstr>http://www.edhec-risk.com/</vt:lpwstr>
      </vt:variant>
      <vt:variant>
        <vt:lpwstr/>
      </vt:variant>
      <vt:variant>
        <vt:i4>2752624</vt:i4>
      </vt:variant>
      <vt:variant>
        <vt:i4>12</vt:i4>
      </vt:variant>
      <vt:variant>
        <vt:i4>0</vt:i4>
      </vt:variant>
      <vt:variant>
        <vt:i4>5</vt:i4>
      </vt:variant>
      <vt:variant>
        <vt:lpwstr>http://www.edhec-risk.com/</vt:lpwstr>
      </vt:variant>
      <vt:variant>
        <vt:lpwstr/>
      </vt:variant>
      <vt:variant>
        <vt:i4>2752624</vt:i4>
      </vt:variant>
      <vt:variant>
        <vt:i4>9</vt:i4>
      </vt:variant>
      <vt:variant>
        <vt:i4>0</vt:i4>
      </vt:variant>
      <vt:variant>
        <vt:i4>5</vt:i4>
      </vt:variant>
      <vt:variant>
        <vt:lpwstr>http://www.edhec-risk.com/</vt:lpwstr>
      </vt:variant>
      <vt:variant>
        <vt:lpwstr/>
      </vt:variant>
      <vt:variant>
        <vt:i4>2293760</vt:i4>
      </vt:variant>
      <vt:variant>
        <vt:i4>6</vt:i4>
      </vt:variant>
      <vt:variant>
        <vt:i4>0</vt:i4>
      </vt:variant>
      <vt:variant>
        <vt:i4>5</vt:i4>
      </vt:variant>
      <vt:variant>
        <vt:lpwstr>mailto:severine.anjubault@edhec-risk.com</vt:lpwstr>
      </vt:variant>
      <vt:variant>
        <vt:lpwstr/>
      </vt:variant>
      <vt:variant>
        <vt:i4>3342408</vt:i4>
      </vt:variant>
      <vt:variant>
        <vt:i4>3</vt:i4>
      </vt:variant>
      <vt:variant>
        <vt:i4>0</vt:i4>
      </vt:variant>
      <vt:variant>
        <vt:i4>5</vt:i4>
      </vt:variant>
      <vt:variant>
        <vt:lpwstr>http://docs.edhec-risk.com/mrk/000000/Press/EDHEC_Publication_Response_EC_White_Paper_Pensions_F.pdf</vt:lpwstr>
      </vt:variant>
      <vt:variant>
        <vt:lpwstr/>
      </vt:variant>
      <vt:variant>
        <vt:i4>4128849</vt:i4>
      </vt:variant>
      <vt:variant>
        <vt:i4>0</vt:i4>
      </vt:variant>
      <vt:variant>
        <vt:i4>0</vt:i4>
      </vt:variant>
      <vt:variant>
        <vt:i4>5</vt:i4>
      </vt:variant>
      <vt:variant>
        <vt:lpwstr>http://docs.edhec-risk.com/mrk/000000/Press/Letter_L_Andor_EC_White_Paper_Pensions_031012.pdf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texte pour le communiqué de presse Misys plc concernant la distinction reçue par Noël Amenc</dc:title>
  <dc:creator>LaKrilof</dc:creator>
  <cp:lastModifiedBy>GAUCHON Maud</cp:lastModifiedBy>
  <cp:revision>7</cp:revision>
  <cp:lastPrinted>2019-09-02T13:01:00Z</cp:lastPrinted>
  <dcterms:created xsi:type="dcterms:W3CDTF">2019-09-11T08:18:00Z</dcterms:created>
  <dcterms:modified xsi:type="dcterms:W3CDTF">2019-09-26T07:18:00Z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