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8C6D" w14:textId="2BFFB304" w:rsidR="00C05B34" w:rsidRDefault="00DD6E44" w:rsidP="00C05B34">
      <w:pPr>
        <w:shd w:val="clear" w:color="auto" w:fill="FFFFFF"/>
        <w:spacing w:after="0" w:line="240" w:lineRule="atLeast"/>
        <w:jc w:val="center"/>
        <w:textAlignment w:val="baseline"/>
        <w:outlineLvl w:val="0"/>
        <w:rPr>
          <w:rFonts w:eastAsia="Times New Roman" w:cstheme="minorHAnsi"/>
          <w:color w:val="333333"/>
          <w:kern w:val="36"/>
          <w:sz w:val="45"/>
          <w:szCs w:val="45"/>
          <w:lang w:eastAsia="en-SG"/>
          <w14:ligatures w14:val="none"/>
        </w:rPr>
      </w:pPr>
      <w:r>
        <w:rPr>
          <w:rFonts w:eastAsia="Times New Roman" w:cstheme="minorHAnsi"/>
          <w:noProof/>
          <w:color w:val="333333"/>
          <w:kern w:val="36"/>
          <w:sz w:val="45"/>
          <w:szCs w:val="45"/>
          <w:lang w:eastAsia="en-SG"/>
        </w:rPr>
        <w:drawing>
          <wp:inline distT="0" distB="0" distL="0" distR="0" wp14:anchorId="0B837799" wp14:editId="78682C2A">
            <wp:extent cx="2352675" cy="854401"/>
            <wp:effectExtent l="0" t="0" r="0" b="3175"/>
            <wp:docPr id="1857826704" name="Image 1" descr="Une image contenant texte,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26704" name="Image 1" descr="Une image contenant texte, Police, Graphique, concept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271" cy="864060"/>
                    </a:xfrm>
                    <a:prstGeom prst="rect">
                      <a:avLst/>
                    </a:prstGeom>
                  </pic:spPr>
                </pic:pic>
              </a:graphicData>
            </a:graphic>
          </wp:inline>
        </w:drawing>
      </w:r>
    </w:p>
    <w:p w14:paraId="5301F07F" w14:textId="77777777" w:rsidR="00FA1C17" w:rsidRDefault="00FA1C17" w:rsidP="00C05B34">
      <w:pPr>
        <w:shd w:val="clear" w:color="auto" w:fill="FFFFFF"/>
        <w:spacing w:after="0" w:line="240" w:lineRule="atLeast"/>
        <w:jc w:val="center"/>
        <w:textAlignment w:val="baseline"/>
        <w:outlineLvl w:val="0"/>
        <w:rPr>
          <w:rFonts w:eastAsia="Times New Roman" w:cstheme="minorHAnsi"/>
          <w:color w:val="333333"/>
          <w:kern w:val="36"/>
          <w:sz w:val="45"/>
          <w:szCs w:val="45"/>
          <w:lang w:eastAsia="en-SG"/>
          <w14:ligatures w14:val="none"/>
        </w:rPr>
      </w:pPr>
    </w:p>
    <w:p w14:paraId="5DF35DB2" w14:textId="67A65C10" w:rsidR="00FA1C17" w:rsidRPr="00FA1C17" w:rsidRDefault="00FA1C17" w:rsidP="00FA1C17">
      <w:pPr>
        <w:shd w:val="clear" w:color="auto" w:fill="FFFFFF"/>
        <w:spacing w:after="0" w:line="240" w:lineRule="atLeast"/>
        <w:textAlignment w:val="baseline"/>
        <w:outlineLvl w:val="0"/>
        <w:rPr>
          <w:b/>
          <w:bCs/>
          <w:sz w:val="24"/>
          <w:szCs w:val="24"/>
          <w:lang w:val="en-IE"/>
        </w:rPr>
      </w:pPr>
      <w:r w:rsidRPr="00FA1C17">
        <w:rPr>
          <w:b/>
          <w:bCs/>
          <w:sz w:val="24"/>
          <w:szCs w:val="24"/>
          <w:lang w:val="en-IE"/>
        </w:rPr>
        <w:t>Press Release</w:t>
      </w:r>
      <w:r w:rsidRPr="00FA1C17">
        <w:rPr>
          <w:b/>
          <w:bCs/>
          <w:sz w:val="24"/>
          <w:szCs w:val="24"/>
          <w:lang w:val="en-IE"/>
        </w:rPr>
        <w:t xml:space="preserve">                                                                     </w:t>
      </w:r>
      <w:r w:rsidRPr="00FA1C17">
        <w:rPr>
          <w:b/>
          <w:bCs/>
          <w:sz w:val="24"/>
          <w:szCs w:val="24"/>
          <w:lang w:val="en-IE"/>
        </w:rPr>
        <w:tab/>
      </w:r>
      <w:r w:rsidRPr="00FA1C17">
        <w:rPr>
          <w:b/>
          <w:bCs/>
          <w:sz w:val="24"/>
          <w:szCs w:val="24"/>
          <w:lang w:val="en-IE"/>
        </w:rPr>
        <w:t xml:space="preserve">                   </w:t>
      </w:r>
      <w:r w:rsidRPr="00FA1C17">
        <w:rPr>
          <w:b/>
          <w:bCs/>
          <w:sz w:val="24"/>
          <w:szCs w:val="24"/>
          <w:lang w:val="en-IE"/>
        </w:rPr>
        <w:t xml:space="preserve">London, Nice, 3 </w:t>
      </w:r>
      <w:r w:rsidRPr="00FA1C17">
        <w:rPr>
          <w:b/>
          <w:bCs/>
          <w:sz w:val="24"/>
          <w:szCs w:val="24"/>
          <w:lang w:val="en-IE"/>
        </w:rPr>
        <w:t>August</w:t>
      </w:r>
      <w:r w:rsidRPr="00FA1C17">
        <w:rPr>
          <w:b/>
          <w:bCs/>
          <w:sz w:val="24"/>
          <w:szCs w:val="24"/>
          <w:lang w:val="en-IE"/>
        </w:rPr>
        <w:t xml:space="preserve"> 2023</w:t>
      </w:r>
    </w:p>
    <w:p w14:paraId="0BA605A2" w14:textId="77777777" w:rsidR="00FA1C17" w:rsidRPr="00FA1C17" w:rsidRDefault="00FA1C17" w:rsidP="00FA1C17">
      <w:pPr>
        <w:shd w:val="clear" w:color="auto" w:fill="FFFFFF"/>
        <w:spacing w:after="0" w:line="240" w:lineRule="atLeast"/>
        <w:textAlignment w:val="baseline"/>
        <w:outlineLvl w:val="0"/>
        <w:rPr>
          <w:sz w:val="24"/>
          <w:szCs w:val="24"/>
          <w:lang w:val="en-IE"/>
        </w:rPr>
      </w:pPr>
    </w:p>
    <w:p w14:paraId="16783171" w14:textId="03101ED5" w:rsidR="00EE0E94" w:rsidRPr="00EE0E94" w:rsidRDefault="00EE0E94" w:rsidP="00EE0E94">
      <w:pPr>
        <w:shd w:val="clear" w:color="auto" w:fill="FFFFFF"/>
        <w:spacing w:after="0" w:line="240" w:lineRule="atLeast"/>
        <w:textAlignment w:val="baseline"/>
        <w:outlineLvl w:val="0"/>
        <w:rPr>
          <w:rFonts w:eastAsia="Times New Roman" w:cstheme="minorHAnsi"/>
          <w:color w:val="333333"/>
          <w:kern w:val="36"/>
          <w:sz w:val="45"/>
          <w:szCs w:val="45"/>
          <w:lang w:eastAsia="en-SG"/>
          <w14:ligatures w14:val="none"/>
        </w:rPr>
      </w:pPr>
      <w:r w:rsidRPr="00426793">
        <w:rPr>
          <w:rFonts w:eastAsia="Times New Roman" w:cstheme="minorHAnsi"/>
          <w:color w:val="333333"/>
          <w:kern w:val="36"/>
          <w:sz w:val="45"/>
          <w:szCs w:val="45"/>
          <w:lang w:eastAsia="en-SG"/>
          <w14:ligatures w14:val="none"/>
        </w:rPr>
        <w:t>EDHEC-Risk Climate Impact Institute</w:t>
      </w:r>
      <w:r w:rsidRPr="00EE0E94">
        <w:rPr>
          <w:rFonts w:eastAsia="Times New Roman" w:cstheme="minorHAnsi"/>
          <w:color w:val="333333"/>
          <w:kern w:val="36"/>
          <w:sz w:val="45"/>
          <w:szCs w:val="45"/>
          <w:lang w:eastAsia="en-SG"/>
          <w14:ligatures w14:val="none"/>
        </w:rPr>
        <w:t xml:space="preserve"> comments on final European Sustainability Reporting Standards</w:t>
      </w:r>
    </w:p>
    <w:p w14:paraId="41268483" w14:textId="77777777" w:rsidR="00FA1C17" w:rsidRDefault="00FA1C17" w:rsidP="00EE0E94">
      <w:pPr>
        <w:shd w:val="clear" w:color="auto" w:fill="FFFFFF"/>
        <w:spacing w:after="0" w:line="240" w:lineRule="auto"/>
        <w:textAlignment w:val="baseline"/>
        <w:rPr>
          <w:rFonts w:eastAsia="Times New Roman" w:cstheme="minorHAnsi"/>
          <w:b/>
          <w:bCs/>
          <w:kern w:val="0"/>
          <w:sz w:val="24"/>
          <w:szCs w:val="24"/>
          <w:bdr w:val="none" w:sz="0" w:space="0" w:color="auto" w:frame="1"/>
          <w:lang w:eastAsia="en-SG"/>
          <w14:ligatures w14:val="none"/>
        </w:rPr>
      </w:pPr>
    </w:p>
    <w:p w14:paraId="49880AB5" w14:textId="122C1B78" w:rsidR="00EE0E94" w:rsidRPr="00EE0E94" w:rsidRDefault="00EE0E94" w:rsidP="00EE0E94">
      <w:pPr>
        <w:shd w:val="clear" w:color="auto" w:fill="FFFFFF"/>
        <w:spacing w:after="0" w:line="240" w:lineRule="auto"/>
        <w:textAlignment w:val="baseline"/>
        <w:rPr>
          <w:rFonts w:eastAsia="Times New Roman" w:cstheme="minorHAnsi"/>
          <w:kern w:val="0"/>
          <w:sz w:val="24"/>
          <w:szCs w:val="24"/>
          <w:lang w:eastAsia="en-SG"/>
          <w14:ligatures w14:val="none"/>
        </w:rPr>
      </w:pPr>
      <w:r w:rsidRPr="00426793">
        <w:rPr>
          <w:rFonts w:eastAsia="Times New Roman" w:cstheme="minorHAnsi"/>
          <w:b/>
          <w:bCs/>
          <w:kern w:val="0"/>
          <w:sz w:val="24"/>
          <w:szCs w:val="24"/>
          <w:bdr w:val="none" w:sz="0" w:space="0" w:color="auto" w:frame="1"/>
          <w:lang w:eastAsia="en-SG"/>
          <w14:ligatures w14:val="none"/>
        </w:rPr>
        <w:t xml:space="preserve">EDHEC-Risk Climate Impact Institute welcomes preservation of </w:t>
      </w:r>
      <w:r w:rsidR="00426793">
        <w:rPr>
          <w:rFonts w:eastAsia="Times New Roman" w:cstheme="minorHAnsi"/>
          <w:b/>
          <w:bCs/>
          <w:kern w:val="0"/>
          <w:sz w:val="24"/>
          <w:szCs w:val="24"/>
          <w:bdr w:val="none" w:sz="0" w:space="0" w:color="auto" w:frame="1"/>
          <w:lang w:eastAsia="en-SG"/>
          <w14:ligatures w14:val="none"/>
        </w:rPr>
        <w:t xml:space="preserve">the </w:t>
      </w:r>
      <w:r w:rsidRPr="00426793">
        <w:rPr>
          <w:rFonts w:eastAsia="Times New Roman" w:cstheme="minorHAnsi"/>
          <w:b/>
          <w:bCs/>
          <w:kern w:val="0"/>
          <w:sz w:val="24"/>
          <w:szCs w:val="24"/>
          <w:bdr w:val="none" w:sz="0" w:space="0" w:color="auto" w:frame="1"/>
          <w:lang w:eastAsia="en-SG"/>
          <w14:ligatures w14:val="none"/>
        </w:rPr>
        <w:t xml:space="preserve">double materiality principle and </w:t>
      </w:r>
      <w:r w:rsidR="00426793">
        <w:rPr>
          <w:rFonts w:eastAsia="Times New Roman" w:cstheme="minorHAnsi"/>
          <w:b/>
          <w:bCs/>
          <w:kern w:val="0"/>
          <w:sz w:val="24"/>
          <w:szCs w:val="24"/>
          <w:bdr w:val="none" w:sz="0" w:space="0" w:color="auto" w:frame="1"/>
          <w:lang w:eastAsia="en-SG"/>
          <w14:ligatures w14:val="none"/>
        </w:rPr>
        <w:t>broad</w:t>
      </w:r>
      <w:r w:rsidRPr="00426793">
        <w:rPr>
          <w:rFonts w:eastAsia="Times New Roman" w:cstheme="minorHAnsi"/>
          <w:b/>
          <w:bCs/>
          <w:kern w:val="0"/>
          <w:sz w:val="24"/>
          <w:szCs w:val="24"/>
          <w:bdr w:val="none" w:sz="0" w:space="0" w:color="auto" w:frame="1"/>
          <w:lang w:eastAsia="en-SG"/>
          <w14:ligatures w14:val="none"/>
        </w:rPr>
        <w:t xml:space="preserve"> coverage of </w:t>
      </w:r>
      <w:r w:rsidRPr="00EE0E94">
        <w:rPr>
          <w:rFonts w:eastAsia="Times New Roman" w:cstheme="minorHAnsi"/>
          <w:b/>
          <w:bCs/>
          <w:kern w:val="0"/>
          <w:sz w:val="24"/>
          <w:szCs w:val="24"/>
          <w:bdr w:val="none" w:sz="0" w:space="0" w:color="auto" w:frame="1"/>
          <w:lang w:eastAsia="en-SG"/>
          <w14:ligatures w14:val="none"/>
        </w:rPr>
        <w:t xml:space="preserve">Environmental, Social and Governance </w:t>
      </w:r>
      <w:r w:rsidRPr="00426793">
        <w:rPr>
          <w:rFonts w:eastAsia="Times New Roman" w:cstheme="minorHAnsi"/>
          <w:b/>
          <w:bCs/>
          <w:kern w:val="0"/>
          <w:sz w:val="24"/>
          <w:szCs w:val="24"/>
          <w:bdr w:val="none" w:sz="0" w:space="0" w:color="auto" w:frame="1"/>
          <w:lang w:eastAsia="en-SG"/>
          <w14:ligatures w14:val="none"/>
        </w:rPr>
        <w:t>issues</w:t>
      </w:r>
      <w:r w:rsidR="00426793">
        <w:rPr>
          <w:rFonts w:eastAsia="Times New Roman" w:cstheme="minorHAnsi"/>
          <w:b/>
          <w:bCs/>
          <w:kern w:val="0"/>
          <w:sz w:val="24"/>
          <w:szCs w:val="24"/>
          <w:bdr w:val="none" w:sz="0" w:space="0" w:color="auto" w:frame="1"/>
          <w:lang w:eastAsia="en-SG"/>
          <w14:ligatures w14:val="none"/>
        </w:rPr>
        <w:t>;</w:t>
      </w:r>
      <w:r w:rsidRPr="00426793">
        <w:rPr>
          <w:rFonts w:eastAsia="Times New Roman" w:cstheme="minorHAnsi"/>
          <w:b/>
          <w:bCs/>
          <w:kern w:val="0"/>
          <w:sz w:val="24"/>
          <w:szCs w:val="24"/>
          <w:bdr w:val="none" w:sz="0" w:space="0" w:color="auto" w:frame="1"/>
          <w:lang w:eastAsia="en-SG"/>
          <w14:ligatures w14:val="none"/>
        </w:rPr>
        <w:t xml:space="preserve"> regrets </w:t>
      </w:r>
      <w:r w:rsidR="00CB00E3" w:rsidRPr="00426793">
        <w:rPr>
          <w:rFonts w:eastAsia="Times New Roman" w:cstheme="minorHAnsi"/>
          <w:b/>
          <w:bCs/>
          <w:kern w:val="0"/>
          <w:sz w:val="24"/>
          <w:szCs w:val="24"/>
          <w:bdr w:val="none" w:sz="0" w:space="0" w:color="auto" w:frame="1"/>
          <w:lang w:eastAsia="en-SG"/>
          <w14:ligatures w14:val="none"/>
        </w:rPr>
        <w:t xml:space="preserve">the </w:t>
      </w:r>
      <w:r w:rsidR="00426793">
        <w:rPr>
          <w:rFonts w:eastAsia="Times New Roman" w:cstheme="minorHAnsi"/>
          <w:b/>
          <w:bCs/>
          <w:kern w:val="0"/>
          <w:sz w:val="24"/>
          <w:szCs w:val="24"/>
          <w:bdr w:val="none" w:sz="0" w:space="0" w:color="auto" w:frame="1"/>
          <w:lang w:eastAsia="en-SG"/>
          <w14:ligatures w14:val="none"/>
        </w:rPr>
        <w:t xml:space="preserve">European Commission’s </w:t>
      </w:r>
      <w:r w:rsidR="00CB00E3" w:rsidRPr="00426793">
        <w:rPr>
          <w:rFonts w:eastAsia="Times New Roman" w:cstheme="minorHAnsi"/>
          <w:b/>
          <w:bCs/>
          <w:kern w:val="0"/>
          <w:sz w:val="24"/>
          <w:szCs w:val="24"/>
          <w:bdr w:val="none" w:sz="0" w:space="0" w:color="auto" w:frame="1"/>
          <w:lang w:eastAsia="en-SG"/>
          <w14:ligatures w14:val="none"/>
        </w:rPr>
        <w:t>decision to dispense with unconditional disclosure of key indicators</w:t>
      </w:r>
      <w:r w:rsidRPr="00426793">
        <w:rPr>
          <w:rFonts w:eastAsia="Times New Roman" w:cstheme="minorHAnsi"/>
          <w:b/>
          <w:bCs/>
          <w:kern w:val="0"/>
          <w:sz w:val="24"/>
          <w:szCs w:val="24"/>
          <w:bdr w:val="none" w:sz="0" w:space="0" w:color="auto" w:frame="1"/>
          <w:lang w:eastAsia="en-SG"/>
          <w14:ligatures w14:val="none"/>
        </w:rPr>
        <w:t xml:space="preserve"> of corporate sustainability</w:t>
      </w:r>
      <w:r w:rsidR="00426793">
        <w:rPr>
          <w:rFonts w:eastAsia="Times New Roman" w:cstheme="minorHAnsi"/>
          <w:b/>
          <w:bCs/>
          <w:kern w:val="0"/>
          <w:sz w:val="24"/>
          <w:szCs w:val="24"/>
          <w:bdr w:val="none" w:sz="0" w:space="0" w:color="auto" w:frame="1"/>
          <w:lang w:eastAsia="en-SG"/>
          <w14:ligatures w14:val="none"/>
        </w:rPr>
        <w:t>;</w:t>
      </w:r>
      <w:r w:rsidR="00CB00E3" w:rsidRPr="00426793">
        <w:rPr>
          <w:rFonts w:eastAsia="Times New Roman" w:cstheme="minorHAnsi"/>
          <w:b/>
          <w:bCs/>
          <w:kern w:val="0"/>
          <w:sz w:val="24"/>
          <w:szCs w:val="24"/>
          <w:bdr w:val="none" w:sz="0" w:space="0" w:color="auto" w:frame="1"/>
          <w:lang w:eastAsia="en-SG"/>
          <w14:ligatures w14:val="none"/>
        </w:rPr>
        <w:t xml:space="preserve"> </w:t>
      </w:r>
      <w:r w:rsidRPr="00426793">
        <w:rPr>
          <w:rFonts w:eastAsia="Times New Roman" w:cstheme="minorHAnsi"/>
          <w:b/>
          <w:bCs/>
          <w:kern w:val="0"/>
          <w:sz w:val="24"/>
          <w:szCs w:val="24"/>
          <w:bdr w:val="none" w:sz="0" w:space="0" w:color="auto" w:frame="1"/>
          <w:lang w:eastAsia="en-SG"/>
          <w14:ligatures w14:val="none"/>
        </w:rPr>
        <w:t>expresses c</w:t>
      </w:r>
      <w:r w:rsidRPr="00EE0E94">
        <w:rPr>
          <w:rFonts w:eastAsia="Times New Roman" w:cstheme="minorHAnsi"/>
          <w:b/>
          <w:bCs/>
          <w:kern w:val="0"/>
          <w:sz w:val="24"/>
          <w:szCs w:val="24"/>
          <w:bdr w:val="none" w:sz="0" w:space="0" w:color="auto" w:frame="1"/>
          <w:lang w:eastAsia="en-SG"/>
          <w14:ligatures w14:val="none"/>
        </w:rPr>
        <w:t xml:space="preserve">oncerns </w:t>
      </w:r>
      <w:r w:rsidRPr="00426793">
        <w:rPr>
          <w:rFonts w:eastAsia="Times New Roman" w:cstheme="minorHAnsi"/>
          <w:b/>
          <w:bCs/>
          <w:kern w:val="0"/>
          <w:sz w:val="24"/>
          <w:szCs w:val="24"/>
          <w:bdr w:val="none" w:sz="0" w:space="0" w:color="auto" w:frame="1"/>
          <w:lang w:eastAsia="en-SG"/>
          <w14:ligatures w14:val="none"/>
        </w:rPr>
        <w:t xml:space="preserve">about </w:t>
      </w:r>
      <w:r w:rsidR="00CB00E3" w:rsidRPr="00426793">
        <w:rPr>
          <w:rFonts w:eastAsia="Times New Roman" w:cstheme="minorHAnsi"/>
          <w:b/>
          <w:bCs/>
          <w:kern w:val="0"/>
          <w:sz w:val="24"/>
          <w:szCs w:val="24"/>
          <w:bdr w:val="none" w:sz="0" w:space="0" w:color="auto" w:frame="1"/>
          <w:lang w:eastAsia="en-SG"/>
          <w14:ligatures w14:val="none"/>
        </w:rPr>
        <w:t>the availability and quality of disclosures</w:t>
      </w:r>
      <w:r w:rsidR="00426793">
        <w:rPr>
          <w:rFonts w:eastAsia="Times New Roman" w:cstheme="minorHAnsi"/>
          <w:b/>
          <w:bCs/>
          <w:kern w:val="0"/>
          <w:sz w:val="24"/>
          <w:szCs w:val="24"/>
          <w:bdr w:val="none" w:sz="0" w:space="0" w:color="auto" w:frame="1"/>
          <w:lang w:eastAsia="en-SG"/>
          <w14:ligatures w14:val="none"/>
        </w:rPr>
        <w:t>;</w:t>
      </w:r>
      <w:r w:rsidR="00CB00E3" w:rsidRPr="00426793">
        <w:rPr>
          <w:rFonts w:eastAsia="Times New Roman" w:cstheme="minorHAnsi"/>
          <w:b/>
          <w:bCs/>
          <w:kern w:val="0"/>
          <w:sz w:val="24"/>
          <w:szCs w:val="24"/>
          <w:bdr w:val="none" w:sz="0" w:space="0" w:color="auto" w:frame="1"/>
          <w:lang w:eastAsia="en-SG"/>
          <w14:ligatures w14:val="none"/>
        </w:rPr>
        <w:t xml:space="preserve"> and calls for industry efforts to standardise </w:t>
      </w:r>
      <w:r w:rsidR="000B0C99" w:rsidRPr="00426793">
        <w:rPr>
          <w:rFonts w:eastAsia="Times New Roman" w:cstheme="minorHAnsi"/>
          <w:b/>
          <w:bCs/>
          <w:kern w:val="0"/>
          <w:sz w:val="24"/>
          <w:szCs w:val="24"/>
          <w:bdr w:val="none" w:sz="0" w:space="0" w:color="auto" w:frame="1"/>
          <w:lang w:eastAsia="en-SG"/>
          <w14:ligatures w14:val="none"/>
        </w:rPr>
        <w:t>materiality assessments</w:t>
      </w:r>
      <w:r w:rsidR="00CB00E3" w:rsidRPr="00426793">
        <w:rPr>
          <w:rFonts w:eastAsia="Times New Roman" w:cstheme="minorHAnsi"/>
          <w:b/>
          <w:bCs/>
          <w:kern w:val="0"/>
          <w:sz w:val="24"/>
          <w:szCs w:val="24"/>
          <w:bdr w:val="none" w:sz="0" w:space="0" w:color="auto" w:frame="1"/>
          <w:lang w:eastAsia="en-SG"/>
          <w14:ligatures w14:val="none"/>
        </w:rPr>
        <w:t xml:space="preserve"> to </w:t>
      </w:r>
      <w:r w:rsidR="008C42D6" w:rsidRPr="00426793">
        <w:rPr>
          <w:rFonts w:eastAsia="Times New Roman" w:cstheme="minorHAnsi"/>
          <w:b/>
          <w:bCs/>
          <w:kern w:val="0"/>
          <w:sz w:val="24"/>
          <w:szCs w:val="24"/>
          <w:bdr w:val="none" w:sz="0" w:space="0" w:color="auto" w:frame="1"/>
          <w:lang w:eastAsia="en-SG"/>
          <w14:ligatures w14:val="none"/>
        </w:rPr>
        <w:t>reduce the cost and enhance the relevance of disclosures.</w:t>
      </w:r>
    </w:p>
    <w:p w14:paraId="68B0857E" w14:textId="77777777" w:rsidR="00CB00E3" w:rsidRDefault="00CB00E3" w:rsidP="00EE0E94">
      <w:pPr>
        <w:shd w:val="clear" w:color="auto" w:fill="FFFFFF"/>
        <w:spacing w:after="0" w:line="240" w:lineRule="auto"/>
        <w:textAlignment w:val="baseline"/>
        <w:rPr>
          <w:rFonts w:ascii="Roboto Condensed" w:eastAsia="Times New Roman" w:hAnsi="Roboto Condensed" w:cs="Times New Roman"/>
          <w:i/>
          <w:iCs/>
          <w:kern w:val="0"/>
          <w:sz w:val="24"/>
          <w:szCs w:val="24"/>
          <w:bdr w:val="none" w:sz="0" w:space="0" w:color="auto" w:frame="1"/>
          <w:lang w:eastAsia="en-SG"/>
          <w14:ligatures w14:val="none"/>
        </w:rPr>
      </w:pPr>
    </w:p>
    <w:p w14:paraId="6CEE80EB" w14:textId="77777777" w:rsidR="00CB00E3" w:rsidRDefault="00CB00E3" w:rsidP="00EE0E94">
      <w:pPr>
        <w:shd w:val="clear" w:color="auto" w:fill="FFFFFF"/>
        <w:spacing w:after="0" w:line="240" w:lineRule="auto"/>
        <w:textAlignment w:val="baseline"/>
        <w:rPr>
          <w:rFonts w:ascii="Roboto Condensed" w:eastAsia="Times New Roman" w:hAnsi="Roboto Condensed" w:cs="Times New Roman"/>
          <w:i/>
          <w:iCs/>
          <w:kern w:val="0"/>
          <w:sz w:val="24"/>
          <w:szCs w:val="24"/>
          <w:bdr w:val="none" w:sz="0" w:space="0" w:color="auto" w:frame="1"/>
          <w:lang w:eastAsia="en-SG"/>
          <w14:ligatures w14:val="none"/>
        </w:rPr>
      </w:pPr>
    </w:p>
    <w:p w14:paraId="6E723201" w14:textId="652C2C8F" w:rsidR="00164F9A" w:rsidRDefault="008C42D6" w:rsidP="00773572">
      <w:pPr>
        <w:rPr>
          <w:sz w:val="24"/>
          <w:szCs w:val="24"/>
          <w:lang w:val="en-IE"/>
        </w:rPr>
      </w:pPr>
      <w:r>
        <w:rPr>
          <w:sz w:val="24"/>
          <w:szCs w:val="24"/>
          <w:lang w:val="en-IE"/>
        </w:rPr>
        <w:t xml:space="preserve">On 31 July 2023, the European Commission adopted the Delegated Act laying out the first set of </w:t>
      </w:r>
      <w:r w:rsidRPr="008C42D6">
        <w:rPr>
          <w:sz w:val="24"/>
          <w:szCs w:val="24"/>
          <w:lang w:val="en-IE"/>
        </w:rPr>
        <w:t>European Sustainability Reporting Standards (ESRS)</w:t>
      </w:r>
      <w:r w:rsidR="00773572" w:rsidRPr="00773572">
        <w:rPr>
          <w:rStyle w:val="Appelnotedebasdep"/>
          <w:rFonts w:ascii="Roboto Condensed" w:eastAsia="Times New Roman" w:hAnsi="Roboto Condensed" w:cs="Times New Roman"/>
          <w:kern w:val="0"/>
          <w:sz w:val="24"/>
          <w:szCs w:val="24"/>
          <w:bdr w:val="none" w:sz="0" w:space="0" w:color="auto" w:frame="1"/>
          <w:lang w:eastAsia="en-SG"/>
          <w14:ligatures w14:val="none"/>
        </w:rPr>
        <w:footnoteReference w:id="1"/>
      </w:r>
      <w:r>
        <w:rPr>
          <w:sz w:val="24"/>
          <w:szCs w:val="24"/>
          <w:lang w:val="en-IE"/>
        </w:rPr>
        <w:t xml:space="preserve"> under the </w:t>
      </w:r>
      <w:r w:rsidRPr="005154AA">
        <w:rPr>
          <w:sz w:val="24"/>
          <w:szCs w:val="24"/>
          <w:lang w:val="en-IE"/>
        </w:rPr>
        <w:t xml:space="preserve">Corporate Sustainability Reporting Directive </w:t>
      </w:r>
      <w:r>
        <w:rPr>
          <w:sz w:val="24"/>
          <w:szCs w:val="24"/>
          <w:lang w:val="en-IE"/>
        </w:rPr>
        <w:t>(CSRD)</w:t>
      </w:r>
      <w:r w:rsidR="008072D1">
        <w:rPr>
          <w:sz w:val="24"/>
          <w:szCs w:val="24"/>
          <w:lang w:val="en-IE"/>
        </w:rPr>
        <w:t>.</w:t>
      </w:r>
      <w:r w:rsidR="00773572">
        <w:rPr>
          <w:rStyle w:val="Appelnotedebasdep"/>
          <w:sz w:val="24"/>
          <w:szCs w:val="24"/>
          <w:lang w:val="en-IE"/>
        </w:rPr>
        <w:footnoteReference w:id="2"/>
      </w:r>
      <w:r w:rsidR="00773572">
        <w:rPr>
          <w:sz w:val="24"/>
          <w:szCs w:val="24"/>
          <w:lang w:val="en-IE"/>
        </w:rPr>
        <w:t xml:space="preserve"> </w:t>
      </w:r>
      <w:r w:rsidR="008072D1">
        <w:rPr>
          <w:sz w:val="24"/>
          <w:szCs w:val="24"/>
          <w:lang w:val="en-IE"/>
        </w:rPr>
        <w:t xml:space="preserve">This adoption </w:t>
      </w:r>
      <w:r w:rsidR="00164F9A">
        <w:rPr>
          <w:sz w:val="24"/>
          <w:szCs w:val="24"/>
          <w:lang w:val="en-IE"/>
        </w:rPr>
        <w:t>comes less than a month after the end of a feedback period that had been kept short but had nevertheless produced</w:t>
      </w:r>
      <w:r w:rsidR="00773572">
        <w:rPr>
          <w:sz w:val="24"/>
          <w:szCs w:val="24"/>
          <w:lang w:val="en-IE"/>
        </w:rPr>
        <w:t xml:space="preserve"> some</w:t>
      </w:r>
      <w:r w:rsidR="00164F9A">
        <w:rPr>
          <w:sz w:val="24"/>
          <w:szCs w:val="24"/>
          <w:lang w:val="en-IE"/>
        </w:rPr>
        <w:t xml:space="preserve"> 600 stakeholder contributions.  </w:t>
      </w:r>
      <w:r w:rsidR="00511D08">
        <w:rPr>
          <w:sz w:val="24"/>
          <w:szCs w:val="24"/>
          <w:lang w:val="en-IE"/>
        </w:rPr>
        <w:t>For EDHEC-Risk Climate Impact Institute, t</w:t>
      </w:r>
      <w:r w:rsidR="00164F9A">
        <w:rPr>
          <w:sz w:val="24"/>
          <w:szCs w:val="24"/>
          <w:lang w:val="en-IE"/>
        </w:rPr>
        <w:t xml:space="preserve">here is little doubt that the same dynamics that led the Commission to disregard the final advice of its technical adviser </w:t>
      </w:r>
      <w:r w:rsidR="00773572">
        <w:rPr>
          <w:sz w:val="24"/>
          <w:szCs w:val="24"/>
          <w:lang w:val="en-IE"/>
        </w:rPr>
        <w:t xml:space="preserve">(i.e., EFRAG) </w:t>
      </w:r>
      <w:r w:rsidR="00164F9A">
        <w:rPr>
          <w:sz w:val="24"/>
          <w:szCs w:val="24"/>
          <w:lang w:val="en-IE"/>
        </w:rPr>
        <w:t>and put forward a draft regulation with curtailed ambitions</w:t>
      </w:r>
      <w:r w:rsidR="00773572">
        <w:rPr>
          <w:sz w:val="24"/>
          <w:szCs w:val="24"/>
          <w:lang w:val="en-IE"/>
        </w:rPr>
        <w:t xml:space="preserve"> also explain why stakeholder consultation was conducted as a ceremonious requirement</w:t>
      </w:r>
      <w:r w:rsidR="000B0C99">
        <w:rPr>
          <w:sz w:val="24"/>
          <w:szCs w:val="24"/>
          <w:lang w:val="en-IE"/>
        </w:rPr>
        <w:t>.</w:t>
      </w:r>
    </w:p>
    <w:p w14:paraId="5E9DD55C" w14:textId="47BCB2A0" w:rsidR="008C42D6" w:rsidRDefault="008C42D6" w:rsidP="008C42D6">
      <w:pPr>
        <w:rPr>
          <w:sz w:val="24"/>
          <w:szCs w:val="24"/>
          <w:lang w:val="en-IE"/>
        </w:rPr>
      </w:pPr>
      <w:r w:rsidRPr="005154AA">
        <w:rPr>
          <w:sz w:val="24"/>
          <w:szCs w:val="24"/>
          <w:lang w:val="en-IE"/>
        </w:rPr>
        <w:t xml:space="preserve">By increasing the scope of sustainability disclosures by listed and large companies, the </w:t>
      </w:r>
      <w:r>
        <w:rPr>
          <w:sz w:val="24"/>
          <w:szCs w:val="24"/>
          <w:lang w:val="en-IE"/>
        </w:rPr>
        <w:t xml:space="preserve">CSRD </w:t>
      </w:r>
      <w:r w:rsidR="00DA100F">
        <w:rPr>
          <w:sz w:val="24"/>
          <w:szCs w:val="24"/>
          <w:lang w:val="en-IE"/>
        </w:rPr>
        <w:t>may</w:t>
      </w:r>
      <w:r w:rsidRPr="005154AA">
        <w:rPr>
          <w:sz w:val="24"/>
          <w:szCs w:val="24"/>
          <w:lang w:val="en-IE"/>
        </w:rPr>
        <w:t xml:space="preserve"> contribute to better identification and management of sustainability</w:t>
      </w:r>
      <w:r>
        <w:rPr>
          <w:sz w:val="24"/>
          <w:szCs w:val="24"/>
          <w:lang w:val="en-IE"/>
        </w:rPr>
        <w:t xml:space="preserve"> impacts,</w:t>
      </w:r>
      <w:r w:rsidRPr="005154AA">
        <w:rPr>
          <w:sz w:val="24"/>
          <w:szCs w:val="24"/>
          <w:lang w:val="en-IE"/>
        </w:rPr>
        <w:t xml:space="preserve"> </w:t>
      </w:r>
      <w:proofErr w:type="gramStart"/>
      <w:r w:rsidRPr="005154AA">
        <w:rPr>
          <w:sz w:val="24"/>
          <w:szCs w:val="24"/>
          <w:lang w:val="en-IE"/>
        </w:rPr>
        <w:t>risks</w:t>
      </w:r>
      <w:proofErr w:type="gramEnd"/>
      <w:r>
        <w:rPr>
          <w:sz w:val="24"/>
          <w:szCs w:val="24"/>
          <w:lang w:val="en-IE"/>
        </w:rPr>
        <w:t xml:space="preserve"> </w:t>
      </w:r>
      <w:r w:rsidRPr="005154AA">
        <w:rPr>
          <w:sz w:val="24"/>
          <w:szCs w:val="24"/>
          <w:lang w:val="en-IE"/>
        </w:rPr>
        <w:t xml:space="preserve">and </w:t>
      </w:r>
      <w:r>
        <w:rPr>
          <w:sz w:val="24"/>
          <w:szCs w:val="24"/>
          <w:lang w:val="en-IE"/>
        </w:rPr>
        <w:t>opportunities</w:t>
      </w:r>
      <w:r w:rsidRPr="005154AA">
        <w:rPr>
          <w:sz w:val="24"/>
          <w:szCs w:val="24"/>
          <w:lang w:val="en-IE"/>
        </w:rPr>
        <w:t xml:space="preserve"> by reporting companies and to better information of internal and external stakeholders in respect of these issues.</w:t>
      </w:r>
      <w:r>
        <w:rPr>
          <w:sz w:val="24"/>
          <w:szCs w:val="24"/>
          <w:lang w:val="en-IE"/>
        </w:rPr>
        <w:t xml:space="preserve">  </w:t>
      </w:r>
    </w:p>
    <w:p w14:paraId="48BC4714" w14:textId="7BB82E5A" w:rsidR="008C42D6" w:rsidRPr="00426793" w:rsidRDefault="00773572" w:rsidP="00773572">
      <w:pPr>
        <w:rPr>
          <w:b/>
          <w:bCs/>
          <w:sz w:val="24"/>
          <w:szCs w:val="24"/>
          <w:lang w:val="en-IE"/>
        </w:rPr>
      </w:pPr>
      <w:r w:rsidRPr="00426793">
        <w:rPr>
          <w:sz w:val="24"/>
          <w:szCs w:val="24"/>
          <w:lang w:val="en-IE"/>
        </w:rPr>
        <w:t xml:space="preserve">In this regard, it is a source for comfort that the </w:t>
      </w:r>
      <w:r w:rsidR="008C42D6" w:rsidRPr="00426793">
        <w:rPr>
          <w:sz w:val="24"/>
          <w:szCs w:val="24"/>
          <w:lang w:val="en-IE"/>
        </w:rPr>
        <w:t xml:space="preserve">finalised </w:t>
      </w:r>
      <w:r w:rsidR="008C42D6" w:rsidRPr="00426793">
        <w:rPr>
          <w:sz w:val="24"/>
          <w:szCs w:val="24"/>
        </w:rPr>
        <w:t xml:space="preserve">ESRS preserve the “double materiality” </w:t>
      </w:r>
      <w:r w:rsidR="00EA0709" w:rsidRPr="00426793">
        <w:rPr>
          <w:sz w:val="24"/>
          <w:szCs w:val="24"/>
        </w:rPr>
        <w:t>principle</w:t>
      </w:r>
      <w:r w:rsidR="008C42D6" w:rsidRPr="00426793">
        <w:rPr>
          <w:sz w:val="24"/>
          <w:szCs w:val="24"/>
        </w:rPr>
        <w:t xml:space="preserve"> that has been the hallmark of the original European Union approach to sustainability reporting.</w:t>
      </w:r>
      <w:r w:rsidRPr="00426793">
        <w:rPr>
          <w:sz w:val="24"/>
          <w:szCs w:val="24"/>
        </w:rPr>
        <w:t xml:space="preserve"> Under the approach, companies are required to report not only on how environmental and social issues create material financial risks and opportunities for them (financial materiality lens), but also on their impacts on people and the environment (impact</w:t>
      </w:r>
      <w:r w:rsidR="00EA0709" w:rsidRPr="00426793">
        <w:rPr>
          <w:sz w:val="24"/>
          <w:szCs w:val="24"/>
        </w:rPr>
        <w:t xml:space="preserve"> materiality</w:t>
      </w:r>
      <w:r w:rsidRPr="00426793">
        <w:rPr>
          <w:sz w:val="24"/>
          <w:szCs w:val="24"/>
        </w:rPr>
        <w:t xml:space="preserve"> lens)</w:t>
      </w:r>
      <w:r w:rsidR="00DA100F" w:rsidRPr="00426793">
        <w:rPr>
          <w:sz w:val="24"/>
          <w:szCs w:val="24"/>
        </w:rPr>
        <w:t>.</w:t>
      </w:r>
    </w:p>
    <w:p w14:paraId="0997883C" w14:textId="5DA7AA4B" w:rsidR="00DA100F" w:rsidRPr="00426793" w:rsidRDefault="00DA100F" w:rsidP="00DA100F">
      <w:pPr>
        <w:rPr>
          <w:sz w:val="24"/>
          <w:szCs w:val="24"/>
        </w:rPr>
      </w:pPr>
      <w:r w:rsidRPr="00426793">
        <w:rPr>
          <w:sz w:val="24"/>
          <w:szCs w:val="24"/>
        </w:rPr>
        <w:t xml:space="preserve">The ESRS Delegated Act was </w:t>
      </w:r>
      <w:r w:rsidR="00511D08" w:rsidRPr="00426793">
        <w:rPr>
          <w:sz w:val="24"/>
          <w:szCs w:val="24"/>
        </w:rPr>
        <w:t xml:space="preserve">also </w:t>
      </w:r>
      <w:r w:rsidRPr="00426793">
        <w:rPr>
          <w:sz w:val="24"/>
          <w:szCs w:val="24"/>
        </w:rPr>
        <w:t>an opportunity to ensure that, at a minimum, reporting entities produce the data required by other entities under the scope of existing sustainability regulation</w:t>
      </w:r>
      <w:r w:rsidR="00D2476B" w:rsidRPr="00426793">
        <w:rPr>
          <w:sz w:val="24"/>
          <w:szCs w:val="24"/>
        </w:rPr>
        <w:t xml:space="preserve">.  While the proposal prepared by the Commission’s adviser had embedded the relevant indicators, </w:t>
      </w:r>
      <w:r w:rsidR="00D2476B" w:rsidRPr="00426793">
        <w:rPr>
          <w:sz w:val="24"/>
          <w:szCs w:val="24"/>
        </w:rPr>
        <w:lastRenderedPageBreak/>
        <w:t>as</w:t>
      </w:r>
      <w:r w:rsidR="007A33B5" w:rsidRPr="00426793">
        <w:rPr>
          <w:sz w:val="24"/>
          <w:szCs w:val="24"/>
        </w:rPr>
        <w:t xml:space="preserve"> mandated by the CSRD</w:t>
      </w:r>
      <w:r w:rsidR="00D2476B" w:rsidRPr="00426793">
        <w:rPr>
          <w:sz w:val="24"/>
          <w:szCs w:val="24"/>
        </w:rPr>
        <w:t>,</w:t>
      </w:r>
      <w:r w:rsidRPr="00426793">
        <w:rPr>
          <w:rStyle w:val="Appelnotedebasdep"/>
          <w:sz w:val="24"/>
          <w:szCs w:val="24"/>
        </w:rPr>
        <w:footnoteReference w:id="3"/>
      </w:r>
      <w:r w:rsidRPr="00426793">
        <w:rPr>
          <w:sz w:val="24"/>
          <w:szCs w:val="24"/>
        </w:rPr>
        <w:t xml:space="preserve"> </w:t>
      </w:r>
      <w:r w:rsidR="00EA0709" w:rsidRPr="00426793">
        <w:rPr>
          <w:sz w:val="24"/>
          <w:szCs w:val="24"/>
        </w:rPr>
        <w:t>th</w:t>
      </w:r>
      <w:r w:rsidR="00426793">
        <w:rPr>
          <w:sz w:val="24"/>
          <w:szCs w:val="24"/>
        </w:rPr>
        <w:t>is</w:t>
      </w:r>
      <w:r w:rsidR="00EA0709" w:rsidRPr="00426793">
        <w:rPr>
          <w:sz w:val="24"/>
          <w:szCs w:val="24"/>
        </w:rPr>
        <w:t xml:space="preserve"> Delegated Act falls short of ensuring that reporting entities produce data that other parties require to comply with the extant </w:t>
      </w:r>
      <w:r w:rsidR="00426793">
        <w:rPr>
          <w:sz w:val="24"/>
          <w:szCs w:val="24"/>
        </w:rPr>
        <w:t xml:space="preserve">European Union </w:t>
      </w:r>
      <w:r w:rsidR="00EA0709" w:rsidRPr="00426793">
        <w:rPr>
          <w:sz w:val="24"/>
          <w:szCs w:val="24"/>
        </w:rPr>
        <w:t>sustainability regulation.</w:t>
      </w:r>
    </w:p>
    <w:p w14:paraId="0B453045" w14:textId="4335EE5C" w:rsidR="00511D08" w:rsidRDefault="00511D08" w:rsidP="00511D08">
      <w:pPr>
        <w:rPr>
          <w:sz w:val="24"/>
          <w:szCs w:val="24"/>
        </w:rPr>
      </w:pPr>
      <w:r w:rsidRPr="005154AA">
        <w:rPr>
          <w:sz w:val="24"/>
          <w:szCs w:val="24"/>
        </w:rPr>
        <w:t xml:space="preserve">In this regard the </w:t>
      </w:r>
      <w:r>
        <w:rPr>
          <w:sz w:val="24"/>
          <w:szCs w:val="24"/>
        </w:rPr>
        <w:t>Delegated Act</w:t>
      </w:r>
      <w:r w:rsidRPr="005154AA">
        <w:rPr>
          <w:sz w:val="24"/>
          <w:szCs w:val="24"/>
        </w:rPr>
        <w:t xml:space="preserve"> allows reporting entities to disclose voluntarily in respect of certain issues (irrespective of their </w:t>
      </w:r>
      <w:r>
        <w:rPr>
          <w:sz w:val="24"/>
          <w:szCs w:val="24"/>
        </w:rPr>
        <w:t xml:space="preserve">impact or financial </w:t>
      </w:r>
      <w:r w:rsidRPr="005154AA">
        <w:rPr>
          <w:sz w:val="24"/>
          <w:szCs w:val="24"/>
        </w:rPr>
        <w:t>materiality), to withhold disclosure for non-material issues (apart from core general disclosures</w:t>
      </w:r>
      <w:r w:rsidR="00426793">
        <w:rPr>
          <w:sz w:val="24"/>
          <w:szCs w:val="24"/>
        </w:rPr>
        <w:t>),</w:t>
      </w:r>
      <w:r w:rsidRPr="005154AA">
        <w:rPr>
          <w:sz w:val="24"/>
          <w:szCs w:val="24"/>
        </w:rPr>
        <w:t xml:space="preserve"> and to avail of further flexibility in respect of certain mandatory disclosures</w:t>
      </w:r>
      <w:r w:rsidR="000B0C99">
        <w:rPr>
          <w:sz w:val="24"/>
          <w:szCs w:val="24"/>
        </w:rPr>
        <w:t xml:space="preserve"> (</w:t>
      </w:r>
      <w:r w:rsidRPr="005154AA">
        <w:rPr>
          <w:sz w:val="24"/>
          <w:szCs w:val="24"/>
        </w:rPr>
        <w:t>it also introduces multiple phase-ins</w:t>
      </w:r>
      <w:r w:rsidR="000B0C99">
        <w:rPr>
          <w:sz w:val="24"/>
          <w:szCs w:val="24"/>
        </w:rPr>
        <w:t>).</w:t>
      </w:r>
    </w:p>
    <w:p w14:paraId="30EED09E" w14:textId="16691E50" w:rsidR="00F92246" w:rsidRPr="00C671A0" w:rsidRDefault="008C42D6" w:rsidP="008C42D6">
      <w:pPr>
        <w:rPr>
          <w:rFonts w:cstheme="minorHAnsi"/>
          <w:sz w:val="24"/>
          <w:szCs w:val="24"/>
        </w:rPr>
      </w:pPr>
      <w:r w:rsidRPr="00C671A0">
        <w:rPr>
          <w:rFonts w:cstheme="minorHAnsi"/>
          <w:sz w:val="24"/>
          <w:szCs w:val="24"/>
        </w:rPr>
        <w:t>We also observe that</w:t>
      </w:r>
      <w:r w:rsidR="00426793" w:rsidRPr="00C671A0">
        <w:rPr>
          <w:rFonts w:cstheme="minorHAnsi"/>
          <w:sz w:val="24"/>
          <w:szCs w:val="24"/>
        </w:rPr>
        <w:t xml:space="preserve"> owing to </w:t>
      </w:r>
      <w:r w:rsidR="00511D08" w:rsidRPr="00C671A0">
        <w:rPr>
          <w:rFonts w:cstheme="minorHAnsi"/>
          <w:sz w:val="24"/>
          <w:szCs w:val="24"/>
        </w:rPr>
        <w:t xml:space="preserve">the </w:t>
      </w:r>
      <w:r w:rsidR="000B0C99">
        <w:rPr>
          <w:rFonts w:cstheme="minorHAnsi"/>
          <w:sz w:val="24"/>
          <w:szCs w:val="24"/>
        </w:rPr>
        <w:t>disclosure leeway afforded to reporting entities</w:t>
      </w:r>
      <w:r w:rsidR="00426793" w:rsidRPr="00C671A0">
        <w:rPr>
          <w:rFonts w:cstheme="minorHAnsi"/>
          <w:sz w:val="24"/>
          <w:szCs w:val="24"/>
        </w:rPr>
        <w:t>, it is doubtful this Delegated Act</w:t>
      </w:r>
      <w:r w:rsidRPr="00C671A0">
        <w:rPr>
          <w:rFonts w:cstheme="minorHAnsi"/>
          <w:sz w:val="24"/>
          <w:szCs w:val="24"/>
        </w:rPr>
        <w:t xml:space="preserve"> </w:t>
      </w:r>
      <w:r w:rsidR="00426793" w:rsidRPr="00C671A0">
        <w:rPr>
          <w:rFonts w:cstheme="minorHAnsi"/>
          <w:sz w:val="24"/>
          <w:szCs w:val="24"/>
        </w:rPr>
        <w:t>will</w:t>
      </w:r>
      <w:r w:rsidRPr="00C671A0">
        <w:rPr>
          <w:rFonts w:cstheme="minorHAnsi"/>
          <w:sz w:val="24"/>
          <w:szCs w:val="24"/>
        </w:rPr>
        <w:t xml:space="preserve"> deliver</w:t>
      </w:r>
      <w:r w:rsidR="00426793" w:rsidRPr="00C671A0">
        <w:rPr>
          <w:rFonts w:cstheme="minorHAnsi"/>
          <w:sz w:val="24"/>
          <w:szCs w:val="24"/>
        </w:rPr>
        <w:t xml:space="preserve"> the</w:t>
      </w:r>
      <w:r w:rsidRPr="00C671A0">
        <w:rPr>
          <w:rFonts w:cstheme="minorHAnsi"/>
          <w:sz w:val="24"/>
          <w:szCs w:val="24"/>
        </w:rPr>
        <w:t xml:space="preserve"> </w:t>
      </w:r>
      <w:r w:rsidR="00B37EFC" w:rsidRPr="00C671A0">
        <w:rPr>
          <w:rFonts w:cstheme="minorHAnsi"/>
          <w:sz w:val="24"/>
          <w:szCs w:val="24"/>
        </w:rPr>
        <w:t>much-needed</w:t>
      </w:r>
      <w:r w:rsidRPr="00C671A0">
        <w:rPr>
          <w:rFonts w:cstheme="minorHAnsi"/>
          <w:sz w:val="24"/>
          <w:szCs w:val="24"/>
        </w:rPr>
        <w:t xml:space="preserve"> improvement in data availability and quality pertaining to environmental and social issues that are central to the European Union’s sustainability commitments and ambitions</w:t>
      </w:r>
      <w:r w:rsidR="00511D08" w:rsidRPr="00C671A0">
        <w:rPr>
          <w:rFonts w:cstheme="minorHAnsi"/>
          <w:sz w:val="24"/>
          <w:szCs w:val="24"/>
        </w:rPr>
        <w:t xml:space="preserve">.  </w:t>
      </w:r>
    </w:p>
    <w:p w14:paraId="0546DD1D" w14:textId="54310266" w:rsidR="00F92246" w:rsidRDefault="00F92246" w:rsidP="008C42D6">
      <w:pPr>
        <w:rPr>
          <w:b/>
          <w:bCs/>
          <w:sz w:val="24"/>
          <w:szCs w:val="24"/>
        </w:rPr>
      </w:pPr>
      <w:r w:rsidRPr="00C671A0">
        <w:rPr>
          <w:rFonts w:cstheme="minorHAnsi"/>
          <w:sz w:val="24"/>
          <w:szCs w:val="24"/>
        </w:rPr>
        <w:t>We</w:t>
      </w:r>
      <w:r w:rsidR="00511D08" w:rsidRPr="00C671A0">
        <w:rPr>
          <w:rFonts w:cstheme="minorHAnsi"/>
          <w:sz w:val="24"/>
          <w:szCs w:val="24"/>
        </w:rPr>
        <w:t xml:space="preserve"> find that g</w:t>
      </w:r>
      <w:r w:rsidR="008C42D6" w:rsidRPr="00C671A0">
        <w:rPr>
          <w:rFonts w:cstheme="minorHAnsi"/>
          <w:sz w:val="24"/>
          <w:szCs w:val="24"/>
        </w:rPr>
        <w:t xml:space="preserve">iving each reporting entity wide and large discretion over the definition of materiality in respect of </w:t>
      </w:r>
      <w:r w:rsidR="00426793" w:rsidRPr="00C671A0">
        <w:rPr>
          <w:rFonts w:cstheme="minorHAnsi"/>
          <w:sz w:val="24"/>
          <w:szCs w:val="24"/>
        </w:rPr>
        <w:t xml:space="preserve">such </w:t>
      </w:r>
      <w:r w:rsidR="008C42D6" w:rsidRPr="00C671A0">
        <w:rPr>
          <w:rFonts w:cstheme="minorHAnsi"/>
          <w:sz w:val="24"/>
          <w:szCs w:val="24"/>
        </w:rPr>
        <w:t xml:space="preserve">central issues </w:t>
      </w:r>
      <w:r w:rsidR="00511D08" w:rsidRPr="00C671A0">
        <w:rPr>
          <w:rFonts w:cstheme="minorHAnsi"/>
          <w:sz w:val="24"/>
          <w:szCs w:val="24"/>
        </w:rPr>
        <w:t>is</w:t>
      </w:r>
      <w:r w:rsidR="008C42D6" w:rsidRPr="00C671A0">
        <w:rPr>
          <w:rFonts w:cstheme="minorHAnsi"/>
          <w:sz w:val="24"/>
          <w:szCs w:val="24"/>
        </w:rPr>
        <w:t xml:space="preserve"> unwise</w:t>
      </w:r>
      <w:r w:rsidR="00426793" w:rsidRPr="00C671A0">
        <w:rPr>
          <w:rFonts w:cstheme="minorHAnsi"/>
          <w:sz w:val="24"/>
          <w:szCs w:val="24"/>
        </w:rPr>
        <w:t>.</w:t>
      </w:r>
      <w:r w:rsidR="00511D08" w:rsidRPr="00C671A0">
        <w:rPr>
          <w:rFonts w:cstheme="minorHAnsi"/>
          <w:sz w:val="24"/>
          <w:szCs w:val="24"/>
        </w:rPr>
        <w:t xml:space="preserve"> </w:t>
      </w:r>
      <w:r w:rsidR="00426793" w:rsidRPr="00C671A0">
        <w:rPr>
          <w:rFonts w:cstheme="minorHAnsi"/>
          <w:sz w:val="24"/>
          <w:szCs w:val="24"/>
        </w:rPr>
        <w:t>Subjecting most disclosures to corporate-specific materiality testing should indeed be expected to produce piecemeal and inconsistent disclosures that critically undermine the intention of the CSRD</w:t>
      </w:r>
      <w:r w:rsidR="00C671A0" w:rsidRPr="00C671A0">
        <w:rPr>
          <w:rFonts w:cstheme="minorHAnsi"/>
          <w:sz w:val="24"/>
          <w:szCs w:val="24"/>
        </w:rPr>
        <w:t xml:space="preserve"> to increase the availability, quality, comparability, and reliability of </w:t>
      </w:r>
      <w:r w:rsidR="00C671A0" w:rsidRPr="00EE0E94">
        <w:rPr>
          <w:rFonts w:eastAsia="Times New Roman" w:cstheme="minorHAnsi"/>
          <w:kern w:val="0"/>
          <w:sz w:val="24"/>
          <w:szCs w:val="24"/>
          <w:lang w:eastAsia="en-SG"/>
          <w14:ligatures w14:val="none"/>
        </w:rPr>
        <w:t>corporate sustainability</w:t>
      </w:r>
      <w:r w:rsidR="00C671A0" w:rsidRPr="00C671A0">
        <w:rPr>
          <w:rFonts w:eastAsia="Times New Roman" w:cstheme="minorHAnsi"/>
          <w:kern w:val="0"/>
          <w:sz w:val="24"/>
          <w:szCs w:val="24"/>
          <w:lang w:eastAsia="en-SG"/>
          <w14:ligatures w14:val="none"/>
        </w:rPr>
        <w:t xml:space="preserve"> information.</w:t>
      </w:r>
      <w:r w:rsidR="00426793" w:rsidRPr="00C671A0">
        <w:rPr>
          <w:rFonts w:cstheme="minorHAnsi"/>
          <w:sz w:val="24"/>
          <w:szCs w:val="24"/>
        </w:rPr>
        <w:t xml:space="preserve"> T</w:t>
      </w:r>
      <w:r w:rsidRPr="00C671A0">
        <w:rPr>
          <w:rFonts w:cstheme="minorHAnsi"/>
          <w:sz w:val="24"/>
          <w:szCs w:val="24"/>
        </w:rPr>
        <w:t xml:space="preserve">his is </w:t>
      </w:r>
      <w:r w:rsidR="008C42D6" w:rsidRPr="00C671A0">
        <w:rPr>
          <w:rFonts w:cstheme="minorHAnsi"/>
          <w:sz w:val="24"/>
          <w:szCs w:val="24"/>
        </w:rPr>
        <w:t xml:space="preserve">all the </w:t>
      </w:r>
      <w:r w:rsidR="00C671A0" w:rsidRPr="00C671A0">
        <w:rPr>
          <w:rFonts w:cstheme="minorHAnsi"/>
          <w:sz w:val="24"/>
          <w:szCs w:val="24"/>
        </w:rPr>
        <w:t>truer</w:t>
      </w:r>
      <w:r w:rsidR="008C42D6" w:rsidRPr="00C671A0">
        <w:rPr>
          <w:rFonts w:cstheme="minorHAnsi"/>
          <w:sz w:val="24"/>
          <w:szCs w:val="24"/>
        </w:rPr>
        <w:t xml:space="preserve"> as third-party assurance and supervisory practices in the emergent field of double materiality will require guidance and time to converge</w:t>
      </w:r>
      <w:r w:rsidR="008C42D6" w:rsidRPr="006C6777">
        <w:rPr>
          <w:b/>
          <w:bCs/>
          <w:sz w:val="24"/>
          <w:szCs w:val="24"/>
        </w:rPr>
        <w:t xml:space="preserve">.  </w:t>
      </w:r>
    </w:p>
    <w:p w14:paraId="18495998" w14:textId="26B335E9" w:rsidR="007961BE" w:rsidRPr="00C671A0" w:rsidRDefault="00F92246" w:rsidP="008C42D6">
      <w:pPr>
        <w:rPr>
          <w:sz w:val="24"/>
          <w:szCs w:val="24"/>
        </w:rPr>
      </w:pPr>
      <w:r w:rsidRPr="00C671A0">
        <w:rPr>
          <w:sz w:val="24"/>
          <w:szCs w:val="24"/>
        </w:rPr>
        <w:t>As we had</w:t>
      </w:r>
      <w:r w:rsidRPr="00C671A0">
        <w:rPr>
          <w:rFonts w:cstheme="minorHAnsi"/>
          <w:sz w:val="24"/>
          <w:szCs w:val="24"/>
        </w:rPr>
        <w:t xml:space="preserve"> underlined in our public feedback to the Commission</w:t>
      </w:r>
      <w:r w:rsidR="000B0C99">
        <w:rPr>
          <w:rFonts w:cstheme="minorHAnsi"/>
          <w:sz w:val="24"/>
          <w:szCs w:val="24"/>
        </w:rPr>
        <w:t xml:space="preserve"> (</w:t>
      </w:r>
      <w:hyperlink r:id="rId9" w:history="1">
        <w:r w:rsidR="000B0C99" w:rsidRPr="005631A5">
          <w:rPr>
            <w:rStyle w:val="Lienhypertexte"/>
            <w:rFonts w:eastAsia="Times New Roman" w:cstheme="minorHAnsi"/>
            <w:b/>
            <w:bCs/>
            <w:kern w:val="0"/>
            <w:sz w:val="24"/>
            <w:szCs w:val="24"/>
            <w:bdr w:val="none" w:sz="0" w:space="0" w:color="auto" w:frame="1"/>
            <w:lang w:eastAsia="en-SG"/>
            <w14:ligatures w14:val="none"/>
          </w:rPr>
          <w:t>https://ec.europa.eu/info/law/better-regulation/have-your-say/initiatives/13765-European-sustainability-reporting-standards-first-set/F3430074_en</w:t>
        </w:r>
      </w:hyperlink>
      <w:r w:rsidR="000B0C99">
        <w:rPr>
          <w:rFonts w:eastAsia="Times New Roman" w:cstheme="minorHAnsi"/>
          <w:b/>
          <w:bCs/>
          <w:kern w:val="0"/>
          <w:sz w:val="24"/>
          <w:szCs w:val="24"/>
          <w:bdr w:val="none" w:sz="0" w:space="0" w:color="auto" w:frame="1"/>
          <w:lang w:eastAsia="en-SG"/>
          <w14:ligatures w14:val="none"/>
        </w:rPr>
        <w:t>)</w:t>
      </w:r>
      <w:r w:rsidRPr="00C671A0">
        <w:rPr>
          <w:rFonts w:cstheme="minorHAnsi"/>
          <w:sz w:val="24"/>
          <w:szCs w:val="24"/>
        </w:rPr>
        <w:t>, t</w:t>
      </w:r>
      <w:r w:rsidRPr="00C671A0">
        <w:rPr>
          <w:sz w:val="24"/>
          <w:szCs w:val="24"/>
        </w:rPr>
        <w:t xml:space="preserve">he extent of discretion awarded by Delegated Act with respect to the appreciation of what should be reported fails to send a clear signal to these entities about the urgency and criticality of integrating sustainability risks and impact into operations. </w:t>
      </w:r>
      <w:r w:rsidRPr="00C671A0">
        <w:rPr>
          <w:rFonts w:cstheme="minorHAnsi"/>
          <w:sz w:val="24"/>
          <w:szCs w:val="24"/>
        </w:rPr>
        <w:t>A</w:t>
      </w:r>
      <w:r w:rsidR="008C42D6" w:rsidRPr="00C671A0">
        <w:rPr>
          <w:sz w:val="24"/>
          <w:szCs w:val="24"/>
        </w:rPr>
        <w:t>llowing reporting entities to dispense of explanations of why they may consider a particular sustainability topic not to be material adds insult to injury</w:t>
      </w:r>
      <w:r w:rsidR="00C671A0" w:rsidRPr="00C671A0">
        <w:rPr>
          <w:sz w:val="24"/>
          <w:szCs w:val="24"/>
        </w:rPr>
        <w:t xml:space="preserve"> – e</w:t>
      </w:r>
      <w:r w:rsidR="008C42D6" w:rsidRPr="00C671A0">
        <w:rPr>
          <w:sz w:val="24"/>
          <w:szCs w:val="24"/>
        </w:rPr>
        <w:t>levating opacity as a principle of transparency regulation</w:t>
      </w:r>
      <w:r w:rsidR="00C671A0" w:rsidRPr="00C671A0">
        <w:rPr>
          <w:sz w:val="24"/>
          <w:szCs w:val="24"/>
        </w:rPr>
        <w:t xml:space="preserve"> in this way</w:t>
      </w:r>
      <w:r w:rsidR="008C42D6" w:rsidRPr="00C671A0">
        <w:rPr>
          <w:sz w:val="24"/>
          <w:szCs w:val="24"/>
        </w:rPr>
        <w:t xml:space="preserve"> facilitate</w:t>
      </w:r>
      <w:r w:rsidR="00511D08" w:rsidRPr="00C671A0">
        <w:rPr>
          <w:sz w:val="24"/>
          <w:szCs w:val="24"/>
        </w:rPr>
        <w:t>s</w:t>
      </w:r>
      <w:r w:rsidR="008C42D6" w:rsidRPr="00C671A0">
        <w:rPr>
          <w:sz w:val="24"/>
          <w:szCs w:val="24"/>
        </w:rPr>
        <w:t xml:space="preserve"> strategic selection of disclosures by reporting entities, which is one key dimension of sustainability-washing</w:t>
      </w:r>
      <w:r w:rsidR="007961BE" w:rsidRPr="00C671A0">
        <w:rPr>
          <w:sz w:val="24"/>
          <w:szCs w:val="24"/>
        </w:rPr>
        <w:t xml:space="preserve">.  </w:t>
      </w:r>
      <w:r w:rsidR="00C671A0" w:rsidRPr="00C671A0">
        <w:rPr>
          <w:sz w:val="24"/>
          <w:szCs w:val="24"/>
        </w:rPr>
        <w:t xml:space="preserve">This is why we had suggested that materiality assessments and their conclusions be disclosed including when a topic </w:t>
      </w:r>
      <w:r w:rsidR="00B37EFC">
        <w:rPr>
          <w:sz w:val="24"/>
          <w:szCs w:val="24"/>
        </w:rPr>
        <w:t>is</w:t>
      </w:r>
      <w:r w:rsidR="00C671A0" w:rsidRPr="00C671A0">
        <w:rPr>
          <w:sz w:val="24"/>
          <w:szCs w:val="24"/>
        </w:rPr>
        <w:t xml:space="preserve"> considered </w:t>
      </w:r>
      <w:r w:rsidR="00B37EFC">
        <w:rPr>
          <w:sz w:val="24"/>
          <w:szCs w:val="24"/>
        </w:rPr>
        <w:t>not material</w:t>
      </w:r>
      <w:r w:rsidR="00C671A0" w:rsidRPr="00C671A0">
        <w:rPr>
          <w:sz w:val="24"/>
          <w:szCs w:val="24"/>
        </w:rPr>
        <w:t xml:space="preserve">.             </w:t>
      </w:r>
    </w:p>
    <w:p w14:paraId="73991C65" w14:textId="7D239F3C" w:rsidR="009148B3" w:rsidRPr="00B37EFC" w:rsidRDefault="000B0C99" w:rsidP="007961BE">
      <w:pPr>
        <w:rPr>
          <w:sz w:val="23"/>
          <w:szCs w:val="23"/>
        </w:rPr>
      </w:pPr>
      <w:r>
        <w:rPr>
          <w:rFonts w:cstheme="minorHAnsi"/>
          <w:sz w:val="24"/>
          <w:szCs w:val="24"/>
        </w:rPr>
        <w:t>EDHEC-Risk Climate Impact Institute Director Frédéric Ducoulombier commented: “</w:t>
      </w:r>
      <w:r w:rsidR="007961BE" w:rsidRPr="00B37EFC">
        <w:rPr>
          <w:rFonts w:cstheme="minorHAnsi"/>
          <w:sz w:val="24"/>
          <w:szCs w:val="24"/>
        </w:rPr>
        <w:t>As a research centre specialised on climate issues, we regret that the Delegated Acts fails to make climate-related disclosures mandatory</w:t>
      </w:r>
      <w:r w:rsidR="00C671A0" w:rsidRPr="00B37EFC">
        <w:rPr>
          <w:rFonts w:cstheme="minorHAnsi"/>
          <w:sz w:val="24"/>
          <w:szCs w:val="24"/>
        </w:rPr>
        <w:t xml:space="preserve"> </w:t>
      </w:r>
      <w:r w:rsidR="007961BE" w:rsidRPr="00B37EFC">
        <w:rPr>
          <w:rFonts w:cstheme="minorHAnsi"/>
          <w:sz w:val="24"/>
          <w:szCs w:val="24"/>
        </w:rPr>
        <w:t>but welcome the</w:t>
      </w:r>
      <w:r w:rsidR="00426793" w:rsidRPr="00B37EFC">
        <w:rPr>
          <w:rFonts w:cstheme="minorHAnsi"/>
          <w:sz w:val="24"/>
          <w:szCs w:val="24"/>
        </w:rPr>
        <w:t xml:space="preserve"> Commission’s</w:t>
      </w:r>
      <w:r w:rsidR="007961BE" w:rsidRPr="00B37EFC">
        <w:rPr>
          <w:rFonts w:cstheme="minorHAnsi"/>
          <w:sz w:val="24"/>
          <w:szCs w:val="24"/>
        </w:rPr>
        <w:t xml:space="preserve"> last-minute </w:t>
      </w:r>
      <w:r w:rsidR="00C05B34">
        <w:rPr>
          <w:rFonts w:cstheme="minorHAnsi"/>
          <w:sz w:val="24"/>
          <w:szCs w:val="24"/>
        </w:rPr>
        <w:t>A</w:t>
      </w:r>
      <w:r w:rsidR="007961BE" w:rsidRPr="00B37EFC">
        <w:rPr>
          <w:rFonts w:cstheme="minorHAnsi"/>
          <w:sz w:val="24"/>
          <w:szCs w:val="24"/>
        </w:rPr>
        <w:t xml:space="preserve">djustment requiring the disclosure of a </w:t>
      </w:r>
      <w:r w:rsidR="007961BE" w:rsidRPr="00B37EFC">
        <w:rPr>
          <w:sz w:val="23"/>
          <w:szCs w:val="23"/>
        </w:rPr>
        <w:t xml:space="preserve">detailed explanation when a reporting entity concludes that </w:t>
      </w:r>
      <w:r w:rsidR="009148B3" w:rsidRPr="00B37EFC">
        <w:rPr>
          <w:sz w:val="23"/>
          <w:szCs w:val="23"/>
        </w:rPr>
        <w:t>climate change is not material</w:t>
      </w:r>
      <w:r w:rsidR="007961BE" w:rsidRPr="00B37EFC">
        <w:rPr>
          <w:sz w:val="23"/>
          <w:szCs w:val="23"/>
        </w:rPr>
        <w:t>.</w:t>
      </w:r>
      <w:r>
        <w:rPr>
          <w:sz w:val="23"/>
          <w:szCs w:val="23"/>
        </w:rPr>
        <w:t>”</w:t>
      </w:r>
      <w:r w:rsidR="007961BE" w:rsidRPr="00B37EFC">
        <w:rPr>
          <w:rStyle w:val="Appelnotedebasdep"/>
          <w:sz w:val="23"/>
          <w:szCs w:val="23"/>
        </w:rPr>
        <w:footnoteReference w:id="4"/>
      </w:r>
      <w:r w:rsidR="009148B3" w:rsidRPr="00B37EFC">
        <w:rPr>
          <w:sz w:val="23"/>
          <w:szCs w:val="23"/>
        </w:rPr>
        <w:t xml:space="preserve"> </w:t>
      </w:r>
    </w:p>
    <w:p w14:paraId="788166E4" w14:textId="7A2AB7AB" w:rsidR="000B0C99" w:rsidRPr="000B0C99" w:rsidRDefault="000B0C99" w:rsidP="008C42D6">
      <w:pPr>
        <w:rPr>
          <w:sz w:val="24"/>
          <w:szCs w:val="24"/>
        </w:rPr>
      </w:pPr>
      <w:r w:rsidRPr="000B0C99">
        <w:rPr>
          <w:sz w:val="24"/>
          <w:szCs w:val="24"/>
        </w:rPr>
        <w:t>“</w:t>
      </w:r>
      <w:r w:rsidR="008C42D6" w:rsidRPr="000B0C99">
        <w:rPr>
          <w:sz w:val="24"/>
          <w:szCs w:val="24"/>
        </w:rPr>
        <w:t xml:space="preserve">We </w:t>
      </w:r>
      <w:r w:rsidRPr="000B0C99">
        <w:rPr>
          <w:sz w:val="24"/>
          <w:szCs w:val="24"/>
        </w:rPr>
        <w:t xml:space="preserve">also </w:t>
      </w:r>
      <w:r w:rsidR="00C671A0" w:rsidRPr="000B0C99">
        <w:rPr>
          <w:sz w:val="24"/>
          <w:szCs w:val="24"/>
        </w:rPr>
        <w:t>regret that the Commission missed an opportunity to p</w:t>
      </w:r>
      <w:r w:rsidR="00C671A0" w:rsidRPr="000B0C99">
        <w:rPr>
          <w:rFonts w:cstheme="minorHAnsi"/>
          <w:color w:val="000000"/>
          <w:sz w:val="24"/>
          <w:szCs w:val="24"/>
        </w:rPr>
        <w:t xml:space="preserve">rovide clear, science-based, guidance on materiality assessments and set minimum criteria to be respected by reporting </w:t>
      </w:r>
      <w:r w:rsidR="00C671A0" w:rsidRPr="000B0C99">
        <w:rPr>
          <w:rFonts w:cstheme="minorHAnsi"/>
          <w:color w:val="000000"/>
          <w:sz w:val="24"/>
          <w:szCs w:val="24"/>
        </w:rPr>
        <w:lastRenderedPageBreak/>
        <w:t>entities</w:t>
      </w:r>
      <w:r w:rsidRPr="000B0C99">
        <w:rPr>
          <w:rFonts w:cstheme="minorHAnsi"/>
          <w:color w:val="000000"/>
          <w:sz w:val="24"/>
          <w:szCs w:val="24"/>
        </w:rPr>
        <w:t xml:space="preserve">; </w:t>
      </w:r>
      <w:r w:rsidR="00C671A0" w:rsidRPr="000B0C99">
        <w:rPr>
          <w:rFonts w:cstheme="minorHAnsi"/>
          <w:color w:val="000000"/>
          <w:sz w:val="24"/>
          <w:szCs w:val="24"/>
        </w:rPr>
        <w:t xml:space="preserve">we </w:t>
      </w:r>
      <w:r w:rsidR="008C42D6" w:rsidRPr="000B0C99">
        <w:rPr>
          <w:sz w:val="24"/>
          <w:szCs w:val="24"/>
        </w:rPr>
        <w:t xml:space="preserve">understand that EFRAG </w:t>
      </w:r>
      <w:r w:rsidRPr="000B0C99">
        <w:rPr>
          <w:sz w:val="24"/>
          <w:szCs w:val="24"/>
        </w:rPr>
        <w:t>is tasked with</w:t>
      </w:r>
      <w:r w:rsidR="008C42D6" w:rsidRPr="000B0C99">
        <w:rPr>
          <w:sz w:val="24"/>
          <w:szCs w:val="24"/>
        </w:rPr>
        <w:t xml:space="preserve"> produc</w:t>
      </w:r>
      <w:r w:rsidRPr="000B0C99">
        <w:rPr>
          <w:sz w:val="24"/>
          <w:szCs w:val="24"/>
        </w:rPr>
        <w:t>ing</w:t>
      </w:r>
      <w:r w:rsidR="008C42D6" w:rsidRPr="000B0C99">
        <w:rPr>
          <w:sz w:val="24"/>
          <w:szCs w:val="24"/>
        </w:rPr>
        <w:t xml:space="preserve"> guidance on materiality assessment in the short term</w:t>
      </w:r>
      <w:r w:rsidR="00B37EFC" w:rsidRPr="000B0C99">
        <w:rPr>
          <w:sz w:val="24"/>
          <w:szCs w:val="24"/>
        </w:rPr>
        <w:t xml:space="preserve"> and call on reporting entities, the reporting ecosystem, and stakeholder groups to contribute to efforts aimed at enhancing the availability and quality of data that are key to the EU sustainable finance framework and the promotion of positive change on the ground</w:t>
      </w:r>
      <w:r w:rsidRPr="000B0C99">
        <w:rPr>
          <w:sz w:val="24"/>
          <w:szCs w:val="24"/>
        </w:rPr>
        <w:t>,” he added.</w:t>
      </w:r>
    </w:p>
    <w:p w14:paraId="47419AB5" w14:textId="77777777" w:rsidR="008072D1" w:rsidRDefault="008072D1"/>
    <w:p w14:paraId="4D5D459C" w14:textId="77777777" w:rsidR="00C05B34" w:rsidRPr="00C05B34" w:rsidRDefault="00C05B34" w:rsidP="00C05B34">
      <w:pPr>
        <w:rPr>
          <w:b/>
        </w:rPr>
      </w:pPr>
      <w:r w:rsidRPr="00C05B34">
        <w:rPr>
          <w:b/>
        </w:rPr>
        <w:t>***Ends</w:t>
      </w:r>
    </w:p>
    <w:p w14:paraId="0E4460A5" w14:textId="77777777" w:rsidR="00C05B34" w:rsidRPr="00C05B34" w:rsidRDefault="00C05B34" w:rsidP="00C05B34">
      <w:pPr>
        <w:rPr>
          <w:b/>
        </w:rPr>
      </w:pPr>
    </w:p>
    <w:p w14:paraId="703C4DCA" w14:textId="77777777" w:rsidR="00C05B34" w:rsidRPr="00C05B34" w:rsidRDefault="00C05B34" w:rsidP="00C05B34">
      <w:pPr>
        <w:rPr>
          <w:b/>
        </w:rPr>
      </w:pPr>
    </w:p>
    <w:p w14:paraId="548132E5" w14:textId="77777777" w:rsidR="00C05B34" w:rsidRPr="00C05B34" w:rsidRDefault="00C05B34" w:rsidP="00DD6E44">
      <w:pPr>
        <w:spacing w:after="0"/>
        <w:rPr>
          <w:b/>
        </w:rPr>
      </w:pPr>
      <w:r w:rsidRPr="00C05B34">
        <w:rPr>
          <w:b/>
        </w:rPr>
        <w:t>Contact:</w:t>
      </w:r>
    </w:p>
    <w:p w14:paraId="7B8A6669" w14:textId="77777777" w:rsidR="00C05B34" w:rsidRPr="00C05B34" w:rsidRDefault="00C05B34" w:rsidP="00DD6E44">
      <w:pPr>
        <w:spacing w:after="0"/>
        <w:rPr>
          <w:b/>
        </w:rPr>
      </w:pPr>
      <w:r w:rsidRPr="00C05B34">
        <w:rPr>
          <w:b/>
        </w:rPr>
        <w:t>For more information, please contact: Maud Gauchon</w:t>
      </w:r>
    </w:p>
    <w:p w14:paraId="0787C794" w14:textId="77777777" w:rsidR="00C05B34" w:rsidRPr="00C05B34" w:rsidRDefault="00C05B34" w:rsidP="00DD6E44">
      <w:pPr>
        <w:spacing w:after="0"/>
        <w:rPr>
          <w:b/>
          <w:lang w:val="fr-FR"/>
        </w:rPr>
      </w:pPr>
      <w:r w:rsidRPr="00C05B34">
        <w:rPr>
          <w:b/>
          <w:lang w:val="fr-FR"/>
        </w:rPr>
        <w:t>Tel.: +33 493 187 887</w:t>
      </w:r>
    </w:p>
    <w:p w14:paraId="2E461E3B" w14:textId="16207B71" w:rsidR="008072D1" w:rsidRPr="00C05B34" w:rsidRDefault="00C05B34" w:rsidP="00DD6E44">
      <w:pPr>
        <w:spacing w:after="0"/>
        <w:rPr>
          <w:lang w:val="fr-FR"/>
        </w:rPr>
      </w:pPr>
      <w:proofErr w:type="gramStart"/>
      <w:r w:rsidRPr="00C05B34">
        <w:rPr>
          <w:b/>
          <w:lang w:val="fr-FR"/>
        </w:rPr>
        <w:t>E-mail:</w:t>
      </w:r>
      <w:proofErr w:type="gramEnd"/>
      <w:r w:rsidRPr="00C05B34">
        <w:rPr>
          <w:b/>
          <w:lang w:val="fr-FR"/>
        </w:rPr>
        <w:t xml:space="preserve"> </w:t>
      </w:r>
      <w:hyperlink r:id="rId10" w:history="1">
        <w:r w:rsidRPr="00C05B34">
          <w:rPr>
            <w:rStyle w:val="Lienhypertexte"/>
            <w:lang w:val="fr-FR"/>
          </w:rPr>
          <w:t>maud.gauchon@climateimpactedhec.com</w:t>
        </w:r>
      </w:hyperlink>
    </w:p>
    <w:p w14:paraId="772C6E98" w14:textId="7E9BC788" w:rsidR="00C05B34" w:rsidRPr="00C05B34" w:rsidRDefault="00C05B34" w:rsidP="00C05B34">
      <w:pPr>
        <w:rPr>
          <w:lang w:val="fr-FR"/>
        </w:rPr>
      </w:pPr>
    </w:p>
    <w:p w14:paraId="11926DC2" w14:textId="77777777" w:rsidR="00DD6E44" w:rsidRDefault="00DD6E44" w:rsidP="00DD6E44">
      <w:pPr>
        <w:spacing w:line="360" w:lineRule="auto"/>
        <w:jc w:val="both"/>
        <w:rPr>
          <w:b/>
          <w:bCs/>
          <w:sz w:val="28"/>
          <w:szCs w:val="28"/>
        </w:rPr>
      </w:pPr>
    </w:p>
    <w:p w14:paraId="0C710AA5" w14:textId="4F7333AE" w:rsidR="00DD6E44" w:rsidRPr="000901C3" w:rsidRDefault="00DD6E44" w:rsidP="00DD6E44">
      <w:pPr>
        <w:spacing w:after="0" w:line="360" w:lineRule="auto"/>
        <w:jc w:val="both"/>
        <w:rPr>
          <w:b/>
          <w:bCs/>
          <w:sz w:val="28"/>
          <w:szCs w:val="28"/>
        </w:rPr>
      </w:pPr>
      <w:r w:rsidRPr="000901C3">
        <w:rPr>
          <w:b/>
          <w:bCs/>
          <w:sz w:val="28"/>
          <w:szCs w:val="28"/>
        </w:rPr>
        <w:t>About EDHEC-Risk Climate Impact Institute</w:t>
      </w:r>
    </w:p>
    <w:p w14:paraId="67B217BB" w14:textId="77777777" w:rsidR="00DD6E44" w:rsidRPr="000901C3" w:rsidRDefault="00DD6E44" w:rsidP="00DD6E44">
      <w:pPr>
        <w:spacing w:after="0" w:line="280" w:lineRule="atLeast"/>
        <w:jc w:val="both"/>
      </w:pPr>
      <w:r w:rsidRPr="000901C3">
        <w:rPr>
          <w:b/>
          <w:bCs/>
        </w:rPr>
        <w:t>Delivering Research Insights on Double Materiality to the Financial Community</w:t>
      </w:r>
    </w:p>
    <w:p w14:paraId="36455F30" w14:textId="77777777" w:rsidR="00DD6E44" w:rsidRPr="000901C3" w:rsidRDefault="00DD6E44" w:rsidP="00DD6E44">
      <w:pPr>
        <w:spacing w:after="0" w:line="280" w:lineRule="atLeast"/>
        <w:jc w:val="both"/>
      </w:pPr>
    </w:p>
    <w:p w14:paraId="1E6190C0" w14:textId="77777777" w:rsidR="00DD6E44" w:rsidRPr="000901C3" w:rsidRDefault="00DD6E44" w:rsidP="00DD6E44">
      <w:pPr>
        <w:shd w:val="clear" w:color="auto" w:fill="FFFFFF"/>
        <w:spacing w:after="150"/>
        <w:jc w:val="both"/>
        <w:rPr>
          <w:color w:val="333333"/>
        </w:rPr>
      </w:pPr>
      <w:r w:rsidRPr="000901C3">
        <w:rPr>
          <w:color w:val="333333"/>
        </w:rPr>
        <w:t>EDHEC-Risk Climate’s mission is to help private and public decision makers manage climate-related financial risks and make the best use of financial tools to support the transition to low-emission and climate-resilient economies.</w:t>
      </w:r>
    </w:p>
    <w:p w14:paraId="1FFAE733" w14:textId="77777777" w:rsidR="00DD6E44" w:rsidRPr="000901C3" w:rsidRDefault="00DD6E44" w:rsidP="00DD6E44">
      <w:pPr>
        <w:shd w:val="clear" w:color="auto" w:fill="FFFFFF"/>
        <w:spacing w:after="150"/>
        <w:jc w:val="both"/>
        <w:rPr>
          <w:color w:val="333333"/>
        </w:rPr>
      </w:pPr>
      <w:r w:rsidRPr="000901C3">
        <w:rPr>
          <w:color w:val="333333"/>
        </w:rPr>
        <w:t xml:space="preserve">Building upon the expertise and industry reputation developed by EDHEC-Risk Institute, EDHEC-Risk Climate’s central ambition is to become a leading academic reference point for long-term investors. Our goal is to help them manage the asset pricing and investment management implications of climate change as well as mitigation and adaptation efforts. </w:t>
      </w:r>
    </w:p>
    <w:p w14:paraId="77845402" w14:textId="77777777" w:rsidR="00DD6E44" w:rsidRPr="000901C3" w:rsidRDefault="00DD6E44" w:rsidP="00DD6E44">
      <w:pPr>
        <w:spacing w:line="280" w:lineRule="atLeast"/>
        <w:jc w:val="both"/>
        <w:rPr>
          <w:color w:val="333333"/>
        </w:rPr>
      </w:pPr>
      <w:r w:rsidRPr="000901C3">
        <w:rPr>
          <w:color w:val="333333"/>
        </w:rPr>
        <w:t>EDHEC-Risk Climate also aims to play a noted role helping financial supervisors and policy makers assess climate-related risks in the financial system and understand their links with the real economy and advising on policy. We will help to provide the financial tools they need to mitigate those risks and optimise the contribution of finance to climate change mitigation and adaptation.</w:t>
      </w:r>
    </w:p>
    <w:p w14:paraId="1D53CAEB" w14:textId="77777777" w:rsidR="00DD6E44" w:rsidRPr="000901C3" w:rsidRDefault="00DD6E44" w:rsidP="00DD6E44">
      <w:pPr>
        <w:shd w:val="clear" w:color="auto" w:fill="FFFFFF"/>
        <w:spacing w:after="150"/>
        <w:jc w:val="both"/>
        <w:rPr>
          <w:color w:val="333333"/>
        </w:rPr>
      </w:pPr>
      <w:r w:rsidRPr="000901C3">
        <w:rPr>
          <w:color w:val="333333"/>
        </w:rPr>
        <w:t>The delivery of these ambitions is centred around two long-term research programmes and a policy advocacy function. </w:t>
      </w:r>
    </w:p>
    <w:p w14:paraId="329C5085" w14:textId="77777777" w:rsidR="00DD6E44" w:rsidRPr="000901C3" w:rsidRDefault="00DD6E44" w:rsidP="00DD6E44">
      <w:pPr>
        <w:shd w:val="clear" w:color="auto" w:fill="FFFFFF"/>
        <w:spacing w:after="150"/>
        <w:jc w:val="both"/>
        <w:rPr>
          <w:color w:val="333333"/>
        </w:rPr>
      </w:pPr>
      <w:r w:rsidRPr="000901C3">
        <w:rPr>
          <w:color w:val="333333"/>
        </w:rPr>
        <w:t>The research programmes respectively look at the Implications of Climate Change on Asset Pricing and Investment Management and the Impact of Finance on Climate Change Mitigation and Adaptation.</w:t>
      </w:r>
    </w:p>
    <w:p w14:paraId="25AA5CE6" w14:textId="77777777" w:rsidR="00DD6E44" w:rsidRPr="000901C3" w:rsidRDefault="00DD6E44" w:rsidP="00DD6E44">
      <w:pPr>
        <w:spacing w:line="280" w:lineRule="atLeast"/>
        <w:jc w:val="both"/>
      </w:pPr>
      <w:r w:rsidRPr="000901C3">
        <w:t>Currently bringing together a dozen faculty members, researchers and staff, the Institute is endowed with a EUR20 million budget for its first five years of operation.</w:t>
      </w:r>
    </w:p>
    <w:p w14:paraId="794393F0" w14:textId="77777777" w:rsidR="00DD6E44" w:rsidRPr="000901C3" w:rsidRDefault="00DD6E44" w:rsidP="00DD6E44">
      <w:pPr>
        <w:tabs>
          <w:tab w:val="left" w:pos="3000"/>
        </w:tabs>
        <w:jc w:val="both"/>
        <w:rPr>
          <w:color w:val="000000" w:themeColor="text1"/>
        </w:rPr>
      </w:pPr>
      <w:r w:rsidRPr="000901C3">
        <w:rPr>
          <w:color w:val="000000" w:themeColor="text1"/>
        </w:rPr>
        <w:t xml:space="preserve">The philosophy of the institute is to validate its work through publication in leading scientific journals, </w:t>
      </w:r>
      <w:r w:rsidRPr="000901C3">
        <w:t xml:space="preserve">but also to make this research available to professionals. In this regard, we participate in industry debate </w:t>
      </w:r>
      <w:r w:rsidRPr="000901C3">
        <w:rPr>
          <w:color w:val="000000" w:themeColor="text1"/>
        </w:rPr>
        <w:t>through position papers, published studies, online courses, webinars, seminars, and global conferences.</w:t>
      </w:r>
    </w:p>
    <w:p w14:paraId="033CA116" w14:textId="77777777" w:rsidR="00DD6E44" w:rsidRPr="000901C3" w:rsidRDefault="00DD6E44" w:rsidP="00DD6E44">
      <w:pPr>
        <w:tabs>
          <w:tab w:val="left" w:pos="3000"/>
        </w:tabs>
        <w:jc w:val="both"/>
        <w:rPr>
          <w:color w:val="000000" w:themeColor="text1"/>
        </w:rPr>
      </w:pPr>
      <w:r w:rsidRPr="000901C3">
        <w:rPr>
          <w:color w:val="000000" w:themeColor="text1"/>
        </w:rPr>
        <w:t xml:space="preserve">To ensure the dissemination of our research to the investment industry, the institute provides professionals with access to its website, </w:t>
      </w:r>
      <w:hyperlink r:id="rId11" w:history="1">
        <w:r w:rsidRPr="000901C3">
          <w:rPr>
            <w:rStyle w:val="Lienhypertexte"/>
          </w:rPr>
          <w:t>https://climateimpact.edhec.edu</w:t>
        </w:r>
      </w:hyperlink>
      <w:r w:rsidRPr="000901C3">
        <w:rPr>
          <w:color w:val="000000" w:themeColor="text1"/>
        </w:rPr>
        <w:t>. This resource is devoted to the study of the consequences of climate change on the economy and on the financial system. Our quarterly newsletter is distributed to more than 100,000 readers.</w:t>
      </w:r>
    </w:p>
    <w:p w14:paraId="39AD96E2" w14:textId="77777777" w:rsidR="00DD6E44" w:rsidRPr="000901C3" w:rsidRDefault="00DD6E44" w:rsidP="00DD6E44">
      <w:pPr>
        <w:spacing w:line="280" w:lineRule="atLeast"/>
        <w:jc w:val="both"/>
      </w:pPr>
      <w:r w:rsidRPr="000901C3">
        <w:rPr>
          <w:color w:val="333333"/>
        </w:rPr>
        <w:lastRenderedPageBreak/>
        <w:t>Institute researchers support the integration of climate-related issues into the curricula of EDHEC Business School programmes.</w:t>
      </w:r>
    </w:p>
    <w:p w14:paraId="53823D22" w14:textId="77777777" w:rsidR="00DD6E44" w:rsidRPr="000901C3" w:rsidRDefault="00DD6E44" w:rsidP="00DD6E44">
      <w:pPr>
        <w:shd w:val="clear" w:color="auto" w:fill="FFFFFF"/>
        <w:spacing w:before="240" w:after="105"/>
        <w:jc w:val="both"/>
      </w:pPr>
      <w:r w:rsidRPr="000901C3">
        <w:rPr>
          <w:color w:val="333333"/>
        </w:rPr>
        <w:t xml:space="preserve">The Institute also supports the integration of climate issues into the research agenda of the </w:t>
      </w:r>
      <w:proofErr w:type="gramStart"/>
      <w:r w:rsidRPr="000901C3">
        <w:rPr>
          <w:color w:val="333333"/>
        </w:rPr>
        <w:t>School’s</w:t>
      </w:r>
      <w:proofErr w:type="gramEnd"/>
      <w:r w:rsidRPr="000901C3">
        <w:rPr>
          <w:color w:val="333333"/>
        </w:rPr>
        <w:t xml:space="preserve"> other financial research centres and into the product offering of the School’s business ventures. </w:t>
      </w:r>
      <w:proofErr w:type="gramStart"/>
      <w:r w:rsidRPr="000901C3">
        <w:rPr>
          <w:color w:val="333333"/>
        </w:rPr>
        <w:t>In particular, it</w:t>
      </w:r>
      <w:proofErr w:type="gramEnd"/>
      <w:r w:rsidRPr="000901C3">
        <w:rPr>
          <w:color w:val="333333"/>
        </w:rPr>
        <w:t xml:space="preserve"> helps the </w:t>
      </w:r>
      <w:hyperlink r:id="rId12" w:history="1">
        <w:r w:rsidRPr="000901C3">
          <w:rPr>
            <w:rStyle w:val="Lienhypertexte"/>
          </w:rPr>
          <w:t>EDHEC Infra &amp; Private Assets</w:t>
        </w:r>
        <w:r w:rsidRPr="000901C3">
          <w:rPr>
            <w:rStyle w:val="Lienhypertexte"/>
            <w:i/>
            <w:iCs/>
          </w:rPr>
          <w:t xml:space="preserve"> </w:t>
        </w:r>
        <w:r w:rsidRPr="000901C3">
          <w:rPr>
            <w:rStyle w:val="Lienhypertexte"/>
          </w:rPr>
          <w:t>Research</w:t>
        </w:r>
        <w:r w:rsidRPr="000901C3">
          <w:rPr>
            <w:rStyle w:val="Lienhypertexte"/>
            <w:i/>
            <w:iCs/>
          </w:rPr>
          <w:t xml:space="preserve"> </w:t>
        </w:r>
        <w:r w:rsidRPr="000901C3">
          <w:rPr>
            <w:rStyle w:val="Lienhypertexte"/>
          </w:rPr>
          <w:t>Institute</w:t>
        </w:r>
      </w:hyperlink>
      <w:r w:rsidRPr="000901C3">
        <w:rPr>
          <w:color w:val="333333"/>
        </w:rPr>
        <w:t xml:space="preserve"> build capacity on</w:t>
      </w:r>
      <w:r w:rsidRPr="000901C3">
        <w:t xml:space="preserve"> </w:t>
      </w:r>
      <w:r w:rsidRPr="000901C3">
        <w:rPr>
          <w:color w:val="333333"/>
        </w:rPr>
        <w:t xml:space="preserve">sectoral alignment and transition plans.   </w:t>
      </w:r>
    </w:p>
    <w:p w14:paraId="467023CF" w14:textId="77777777" w:rsidR="00DD6E44" w:rsidRPr="000901C3" w:rsidRDefault="00DD6E44" w:rsidP="00DD6E44">
      <w:pPr>
        <w:spacing w:line="280" w:lineRule="atLeast"/>
        <w:jc w:val="both"/>
      </w:pPr>
    </w:p>
    <w:p w14:paraId="571A8999" w14:textId="77777777" w:rsidR="00DD6E44" w:rsidRPr="000901C3" w:rsidRDefault="00DD6E44" w:rsidP="00DD6E44">
      <w:pPr>
        <w:spacing w:after="0"/>
        <w:jc w:val="both"/>
        <w:rPr>
          <w:color w:val="000000" w:themeColor="text1"/>
        </w:rPr>
      </w:pPr>
    </w:p>
    <w:p w14:paraId="301DA4C6" w14:textId="77777777" w:rsidR="00DD6E44" w:rsidRPr="000901C3" w:rsidRDefault="00DD6E44" w:rsidP="00DD6E44">
      <w:pPr>
        <w:autoSpaceDE w:val="0"/>
        <w:autoSpaceDN w:val="0"/>
        <w:adjustRightInd w:val="0"/>
        <w:spacing w:after="0"/>
        <w:ind w:left="708" w:firstLine="708"/>
        <w:rPr>
          <w:sz w:val="16"/>
          <w:szCs w:val="16"/>
          <w:lang w:val="fr-FR" w:eastAsia="zh-CN"/>
        </w:rPr>
      </w:pPr>
      <w:r w:rsidRPr="000901C3">
        <w:rPr>
          <w:sz w:val="16"/>
          <w:szCs w:val="16"/>
          <w:lang w:val="fr-FR" w:eastAsia="zh-CN"/>
        </w:rPr>
        <w:t xml:space="preserve">400 </w:t>
      </w:r>
      <w:proofErr w:type="gramStart"/>
      <w:r w:rsidRPr="000901C3">
        <w:rPr>
          <w:sz w:val="16"/>
          <w:szCs w:val="16"/>
          <w:lang w:val="fr-FR" w:eastAsia="zh-CN"/>
        </w:rPr>
        <w:t>promenade</w:t>
      </w:r>
      <w:proofErr w:type="gramEnd"/>
      <w:r w:rsidRPr="000901C3">
        <w:rPr>
          <w:sz w:val="16"/>
          <w:szCs w:val="16"/>
          <w:lang w:val="fr-FR" w:eastAsia="zh-CN"/>
        </w:rPr>
        <w:t xml:space="preserve"> des Anglais</w:t>
      </w:r>
      <w:r w:rsidRPr="000901C3">
        <w:rPr>
          <w:sz w:val="16"/>
          <w:szCs w:val="16"/>
          <w:lang w:val="fr-FR" w:eastAsia="zh-CN"/>
        </w:rPr>
        <w:tab/>
      </w:r>
      <w:r w:rsidRPr="000901C3">
        <w:rPr>
          <w:sz w:val="16"/>
          <w:szCs w:val="16"/>
          <w:lang w:val="fr-FR" w:eastAsia="zh-CN"/>
        </w:rPr>
        <w:tab/>
      </w:r>
      <w:r w:rsidRPr="000901C3">
        <w:rPr>
          <w:sz w:val="16"/>
          <w:szCs w:val="16"/>
          <w:lang w:val="fr-FR" w:eastAsia="zh-CN"/>
        </w:rPr>
        <w:tab/>
      </w:r>
      <w:r w:rsidRPr="000901C3">
        <w:rPr>
          <w:sz w:val="16"/>
          <w:szCs w:val="16"/>
          <w:lang w:val="fr-FR" w:eastAsia="zh-CN"/>
        </w:rPr>
        <w:tab/>
      </w:r>
      <w:r w:rsidRPr="000901C3">
        <w:rPr>
          <w:sz w:val="16"/>
          <w:szCs w:val="16"/>
          <w:lang w:val="fr-FR" w:eastAsia="zh-CN"/>
        </w:rPr>
        <w:tab/>
        <w:t xml:space="preserve">10 Fleet Place, </w:t>
      </w:r>
      <w:proofErr w:type="spellStart"/>
      <w:r w:rsidRPr="000901C3">
        <w:rPr>
          <w:sz w:val="16"/>
          <w:szCs w:val="16"/>
          <w:lang w:val="fr-FR" w:eastAsia="zh-CN"/>
        </w:rPr>
        <w:t>Ludgate</w:t>
      </w:r>
      <w:proofErr w:type="spellEnd"/>
    </w:p>
    <w:p w14:paraId="7C4712DF" w14:textId="77777777" w:rsidR="00DD6E44" w:rsidRPr="000901C3" w:rsidRDefault="00DD6E44" w:rsidP="00DD6E44">
      <w:pPr>
        <w:autoSpaceDE w:val="0"/>
        <w:autoSpaceDN w:val="0"/>
        <w:adjustRightInd w:val="0"/>
        <w:spacing w:after="0"/>
        <w:ind w:left="708" w:firstLine="708"/>
        <w:rPr>
          <w:sz w:val="16"/>
          <w:szCs w:val="16"/>
          <w:lang w:eastAsia="zh-CN"/>
        </w:rPr>
      </w:pPr>
      <w:r w:rsidRPr="000901C3">
        <w:rPr>
          <w:sz w:val="16"/>
          <w:szCs w:val="16"/>
          <w:lang w:eastAsia="zh-CN"/>
        </w:rPr>
        <w:t>BP 3116 - 06202 Nice Cedex 3</w:t>
      </w:r>
      <w:r w:rsidRPr="000901C3">
        <w:rPr>
          <w:sz w:val="16"/>
          <w:szCs w:val="16"/>
          <w:lang w:eastAsia="zh-CN"/>
        </w:rPr>
        <w:tab/>
      </w:r>
      <w:r w:rsidRPr="000901C3">
        <w:rPr>
          <w:sz w:val="16"/>
          <w:szCs w:val="16"/>
          <w:lang w:eastAsia="zh-CN"/>
        </w:rPr>
        <w:tab/>
      </w:r>
      <w:r w:rsidRPr="000901C3">
        <w:rPr>
          <w:sz w:val="16"/>
          <w:szCs w:val="16"/>
          <w:lang w:eastAsia="zh-CN"/>
        </w:rPr>
        <w:tab/>
      </w:r>
      <w:r w:rsidRPr="000901C3">
        <w:rPr>
          <w:sz w:val="16"/>
          <w:szCs w:val="16"/>
          <w:lang w:eastAsia="zh-CN"/>
        </w:rPr>
        <w:tab/>
      </w:r>
      <w:r w:rsidRPr="000901C3">
        <w:rPr>
          <w:sz w:val="16"/>
          <w:szCs w:val="16"/>
          <w:lang w:eastAsia="zh-CN"/>
        </w:rPr>
        <w:tab/>
        <w:t>London EC4M 7RB</w:t>
      </w:r>
      <w:r w:rsidRPr="000901C3">
        <w:rPr>
          <w:sz w:val="16"/>
          <w:szCs w:val="16"/>
          <w:lang w:eastAsia="zh-CN"/>
        </w:rPr>
        <w:tab/>
      </w:r>
      <w:r w:rsidRPr="000901C3">
        <w:rPr>
          <w:sz w:val="16"/>
          <w:szCs w:val="16"/>
          <w:lang w:eastAsia="zh-CN"/>
        </w:rPr>
        <w:tab/>
      </w:r>
    </w:p>
    <w:p w14:paraId="4DABF823" w14:textId="77777777" w:rsidR="00DD6E44" w:rsidRPr="000901C3" w:rsidRDefault="00DD6E44" w:rsidP="00DD6E44">
      <w:pPr>
        <w:autoSpaceDE w:val="0"/>
        <w:autoSpaceDN w:val="0"/>
        <w:adjustRightInd w:val="0"/>
        <w:spacing w:after="0"/>
        <w:ind w:left="708" w:firstLine="708"/>
        <w:rPr>
          <w:sz w:val="16"/>
          <w:szCs w:val="16"/>
          <w:lang w:eastAsia="zh-CN"/>
        </w:rPr>
      </w:pPr>
      <w:r w:rsidRPr="000901C3">
        <w:rPr>
          <w:sz w:val="16"/>
          <w:szCs w:val="16"/>
          <w:lang w:eastAsia="zh-CN"/>
        </w:rPr>
        <w:t>France</w:t>
      </w:r>
      <w:r w:rsidRPr="000901C3">
        <w:rPr>
          <w:sz w:val="16"/>
          <w:szCs w:val="16"/>
          <w:lang w:eastAsia="zh-CN"/>
        </w:rPr>
        <w:tab/>
      </w:r>
      <w:r w:rsidRPr="000901C3">
        <w:rPr>
          <w:sz w:val="16"/>
          <w:szCs w:val="16"/>
          <w:lang w:eastAsia="zh-CN"/>
        </w:rPr>
        <w:tab/>
      </w:r>
      <w:r w:rsidRPr="000901C3">
        <w:rPr>
          <w:sz w:val="16"/>
          <w:szCs w:val="16"/>
          <w:lang w:eastAsia="zh-CN"/>
        </w:rPr>
        <w:tab/>
      </w:r>
      <w:r w:rsidRPr="000901C3">
        <w:rPr>
          <w:sz w:val="16"/>
          <w:szCs w:val="16"/>
          <w:lang w:eastAsia="zh-CN"/>
        </w:rPr>
        <w:tab/>
      </w:r>
      <w:r w:rsidRPr="000901C3">
        <w:rPr>
          <w:sz w:val="16"/>
          <w:szCs w:val="16"/>
          <w:lang w:eastAsia="zh-CN"/>
        </w:rPr>
        <w:tab/>
      </w:r>
      <w:r w:rsidRPr="000901C3">
        <w:rPr>
          <w:sz w:val="16"/>
          <w:szCs w:val="16"/>
          <w:lang w:eastAsia="zh-CN"/>
        </w:rPr>
        <w:tab/>
      </w:r>
      <w:r w:rsidRPr="000901C3">
        <w:rPr>
          <w:sz w:val="16"/>
          <w:szCs w:val="16"/>
          <w:lang w:eastAsia="zh-CN"/>
        </w:rPr>
        <w:tab/>
        <w:t>United Kingdom</w:t>
      </w:r>
      <w:r w:rsidRPr="000901C3">
        <w:rPr>
          <w:sz w:val="16"/>
          <w:szCs w:val="16"/>
          <w:lang w:eastAsia="zh-CN"/>
        </w:rPr>
        <w:tab/>
      </w:r>
      <w:r w:rsidRPr="000901C3">
        <w:rPr>
          <w:sz w:val="16"/>
          <w:szCs w:val="16"/>
          <w:lang w:eastAsia="zh-CN"/>
        </w:rPr>
        <w:tab/>
      </w:r>
    </w:p>
    <w:p w14:paraId="595B2BC2" w14:textId="77777777" w:rsidR="00DD6E44" w:rsidRPr="000901C3" w:rsidRDefault="00DD6E44" w:rsidP="00DD6E44">
      <w:pPr>
        <w:autoSpaceDE w:val="0"/>
        <w:autoSpaceDN w:val="0"/>
        <w:adjustRightInd w:val="0"/>
        <w:spacing w:after="0"/>
        <w:ind w:left="708" w:firstLine="708"/>
        <w:rPr>
          <w:sz w:val="16"/>
          <w:szCs w:val="16"/>
          <w:lang w:eastAsia="zh-CN"/>
        </w:rPr>
      </w:pPr>
      <w:r w:rsidRPr="000901C3">
        <w:rPr>
          <w:sz w:val="16"/>
          <w:szCs w:val="16"/>
          <w:lang w:eastAsia="zh-CN"/>
        </w:rPr>
        <w:t>Tel: +33 493 187 887</w:t>
      </w:r>
      <w:r w:rsidRPr="000901C3">
        <w:rPr>
          <w:sz w:val="16"/>
          <w:szCs w:val="16"/>
          <w:lang w:eastAsia="zh-CN"/>
        </w:rPr>
        <w:tab/>
      </w:r>
      <w:r w:rsidRPr="000901C3">
        <w:rPr>
          <w:sz w:val="16"/>
          <w:szCs w:val="16"/>
          <w:lang w:eastAsia="zh-CN"/>
        </w:rPr>
        <w:tab/>
      </w:r>
      <w:r w:rsidRPr="000901C3">
        <w:rPr>
          <w:sz w:val="16"/>
          <w:szCs w:val="16"/>
          <w:lang w:eastAsia="zh-CN"/>
        </w:rPr>
        <w:tab/>
      </w:r>
      <w:r w:rsidRPr="000901C3">
        <w:rPr>
          <w:sz w:val="16"/>
          <w:szCs w:val="16"/>
          <w:lang w:eastAsia="zh-CN"/>
        </w:rPr>
        <w:tab/>
      </w:r>
      <w:r w:rsidRPr="000901C3">
        <w:rPr>
          <w:sz w:val="16"/>
          <w:szCs w:val="16"/>
          <w:lang w:eastAsia="zh-CN"/>
        </w:rPr>
        <w:tab/>
      </w:r>
      <w:r w:rsidRPr="000901C3">
        <w:rPr>
          <w:sz w:val="16"/>
          <w:szCs w:val="16"/>
          <w:lang w:eastAsia="zh-CN"/>
        </w:rPr>
        <w:tab/>
        <w:t>Tel: + 44 207 332 5600</w:t>
      </w:r>
      <w:r w:rsidRPr="000901C3">
        <w:rPr>
          <w:sz w:val="16"/>
          <w:szCs w:val="16"/>
          <w:lang w:eastAsia="zh-CN"/>
        </w:rPr>
        <w:tab/>
      </w:r>
    </w:p>
    <w:p w14:paraId="19AA918A" w14:textId="77777777" w:rsidR="00DD6E44" w:rsidRPr="000901C3" w:rsidRDefault="00DD6E44" w:rsidP="00DD6E44">
      <w:pPr>
        <w:autoSpaceDE w:val="0"/>
        <w:autoSpaceDN w:val="0"/>
        <w:adjustRightInd w:val="0"/>
        <w:ind w:left="708" w:firstLine="708"/>
        <w:rPr>
          <w:sz w:val="16"/>
          <w:szCs w:val="16"/>
          <w:lang w:eastAsia="zh-CN"/>
        </w:rPr>
      </w:pPr>
      <w:r w:rsidRPr="000901C3">
        <w:rPr>
          <w:sz w:val="16"/>
          <w:szCs w:val="16"/>
          <w:lang w:eastAsia="zh-CN"/>
        </w:rPr>
        <w:tab/>
      </w:r>
    </w:p>
    <w:p w14:paraId="5784330E" w14:textId="05A77B0E" w:rsidR="00FC6AD5" w:rsidRPr="00DD6E44" w:rsidRDefault="00FC6AD5" w:rsidP="00C05B34"/>
    <w:sectPr w:rsidR="00FC6AD5" w:rsidRPr="00DD6E44" w:rsidSect="00C05B3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D4AE" w14:textId="77777777" w:rsidR="00ED6E3E" w:rsidRDefault="00ED6E3E" w:rsidP="008C42D6">
      <w:pPr>
        <w:spacing w:after="0" w:line="240" w:lineRule="auto"/>
      </w:pPr>
      <w:r>
        <w:separator/>
      </w:r>
    </w:p>
  </w:endnote>
  <w:endnote w:type="continuationSeparator" w:id="0">
    <w:p w14:paraId="1AE1FB9A" w14:textId="77777777" w:rsidR="00ED6E3E" w:rsidRDefault="00ED6E3E" w:rsidP="008C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102D" w14:textId="77777777" w:rsidR="00ED6E3E" w:rsidRDefault="00ED6E3E" w:rsidP="008C42D6">
      <w:pPr>
        <w:spacing w:after="0" w:line="240" w:lineRule="auto"/>
      </w:pPr>
      <w:r>
        <w:separator/>
      </w:r>
    </w:p>
  </w:footnote>
  <w:footnote w:type="continuationSeparator" w:id="0">
    <w:p w14:paraId="4BCB69A1" w14:textId="77777777" w:rsidR="00ED6E3E" w:rsidRDefault="00ED6E3E" w:rsidP="008C42D6">
      <w:pPr>
        <w:spacing w:after="0" w:line="240" w:lineRule="auto"/>
      </w:pPr>
      <w:r>
        <w:continuationSeparator/>
      </w:r>
    </w:p>
  </w:footnote>
  <w:footnote w:id="1">
    <w:p w14:paraId="6ECAD9AF" w14:textId="6C22809B" w:rsidR="00773572" w:rsidRPr="000B0C99" w:rsidRDefault="00773572" w:rsidP="00773572">
      <w:pPr>
        <w:pStyle w:val="Notedebasdepage"/>
        <w:rPr>
          <w:sz w:val="16"/>
          <w:szCs w:val="16"/>
        </w:rPr>
      </w:pPr>
      <w:r w:rsidRPr="000B0C99">
        <w:rPr>
          <w:rStyle w:val="Appelnotedebasdep"/>
          <w:sz w:val="16"/>
          <w:szCs w:val="16"/>
        </w:rPr>
        <w:footnoteRef/>
      </w:r>
      <w:r w:rsidRPr="000B0C99">
        <w:rPr>
          <w:sz w:val="16"/>
          <w:szCs w:val="16"/>
        </w:rPr>
        <w:t xml:space="preserve"> The first set of disclosures pertains to sector-agnostic and cross-cutting indicators.</w:t>
      </w:r>
    </w:p>
  </w:footnote>
  <w:footnote w:id="2">
    <w:p w14:paraId="08979C9C" w14:textId="77777777" w:rsidR="00773572" w:rsidRPr="008072D1" w:rsidRDefault="00773572" w:rsidP="00773572">
      <w:pPr>
        <w:pStyle w:val="Notedebasdepage"/>
      </w:pPr>
      <w:r w:rsidRPr="000B0C99">
        <w:rPr>
          <w:rStyle w:val="Appelnotedebasdep"/>
          <w:sz w:val="16"/>
          <w:szCs w:val="16"/>
        </w:rPr>
        <w:footnoteRef/>
      </w:r>
      <w:r w:rsidRPr="000B0C99">
        <w:rPr>
          <w:sz w:val="16"/>
          <w:szCs w:val="16"/>
        </w:rPr>
        <w:t xml:space="preserve"> The CSRD (2022/2464) amended the Accounting Directive (2013/34/EU) and this delegated act is based on Article 29</w:t>
      </w:r>
      <w:proofErr w:type="gramStart"/>
      <w:r w:rsidRPr="000B0C99">
        <w:rPr>
          <w:sz w:val="16"/>
          <w:szCs w:val="16"/>
        </w:rPr>
        <w:t>b(</w:t>
      </w:r>
      <w:proofErr w:type="gramEnd"/>
      <w:r w:rsidRPr="000B0C99">
        <w:rPr>
          <w:sz w:val="16"/>
          <w:szCs w:val="16"/>
        </w:rPr>
        <w:t>1), first subparagraph, of the Accounting Directive.</w:t>
      </w:r>
    </w:p>
  </w:footnote>
  <w:footnote w:id="3">
    <w:p w14:paraId="3B313685" w14:textId="53460C81" w:rsidR="00DA100F" w:rsidRPr="000B0C99" w:rsidRDefault="00DA100F" w:rsidP="00DA100F">
      <w:pPr>
        <w:pStyle w:val="Notedebasdepage"/>
        <w:rPr>
          <w:sz w:val="16"/>
          <w:szCs w:val="16"/>
        </w:rPr>
      </w:pPr>
      <w:r w:rsidRPr="000B0C99">
        <w:rPr>
          <w:rStyle w:val="Appelnotedebasdep"/>
          <w:sz w:val="16"/>
          <w:szCs w:val="16"/>
        </w:rPr>
        <w:footnoteRef/>
      </w:r>
      <w:r w:rsidRPr="000B0C99">
        <w:rPr>
          <w:sz w:val="16"/>
          <w:szCs w:val="16"/>
        </w:rPr>
        <w:t xml:space="preserve"> The regulator has imposed sustainability integration and/or reporting obligations upon Financial Market Participants (FMPs) in respect of their investments (via the Benchmark Regulation [BMR], the Sustainable Finance Disclosure Regulation [SFDR], and the Capital Requirements Regulation [CRR] notably) before requiring the corresponding disclosures of investee companies (via the CSRD).  This has limited the reliability and comparability – and therefore the usefulness – of the data produced by FMPs, has done little to encourage the integration of sustainability issues “in the real world”, and may have contributed to greenwashing in the financial industry.  Article 1(8) of the CSRD (adding Article 29(b)5 to the Accounting Directive) provided that the ESRS delegated act should at least include the information that FMPs need to comply with the SFDR; and the advice given by EFRAG to the European Commission in November 2022 had embedded (for mandatory reporting) the indicators and/or datapoints required for compliance with the SFDR, BMR, and CRR, among other relevant texts.</w:t>
      </w:r>
    </w:p>
  </w:footnote>
  <w:footnote w:id="4">
    <w:p w14:paraId="32A61447" w14:textId="10EC049C" w:rsidR="007961BE" w:rsidRPr="000B0C99" w:rsidRDefault="007961BE" w:rsidP="00C671A0">
      <w:pPr>
        <w:pStyle w:val="Notedebasdepage"/>
        <w:rPr>
          <w:sz w:val="16"/>
          <w:szCs w:val="16"/>
        </w:rPr>
      </w:pPr>
      <w:r w:rsidRPr="000B0C99">
        <w:rPr>
          <w:rStyle w:val="Appelnotedebasdep"/>
          <w:sz w:val="16"/>
          <w:szCs w:val="16"/>
        </w:rPr>
        <w:footnoteRef/>
      </w:r>
      <w:r w:rsidRPr="000B0C99">
        <w:rPr>
          <w:sz w:val="16"/>
          <w:szCs w:val="16"/>
        </w:rPr>
        <w:t xml:space="preserve"> As for other sustainability issues, the finalised act only requires that an entity explicitly state where each datapoint pertaining to requirements under the SFDR, BMR or the CRR can be found</w:t>
      </w:r>
      <w:r w:rsidR="00426793" w:rsidRPr="000B0C99">
        <w:rPr>
          <w:sz w:val="16"/>
          <w:szCs w:val="16"/>
        </w:rPr>
        <w:t xml:space="preserve"> in its sustainability statement or indicate that it is (assessed as) not material.</w:t>
      </w:r>
      <w:r w:rsidR="00C671A0" w:rsidRPr="000B0C99">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B14AD"/>
    <w:multiLevelType w:val="multilevel"/>
    <w:tmpl w:val="F0D4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97085F"/>
    <w:multiLevelType w:val="hybridMultilevel"/>
    <w:tmpl w:val="5ABC53C0"/>
    <w:lvl w:ilvl="0" w:tplc="6D84DA76">
      <w:start w:val="17"/>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445346716">
    <w:abstractNumId w:val="0"/>
  </w:num>
  <w:num w:numId="2" w16cid:durableId="1529950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94"/>
    <w:rsid w:val="000B0C99"/>
    <w:rsid w:val="00164F9A"/>
    <w:rsid w:val="001C5CF0"/>
    <w:rsid w:val="00344BF5"/>
    <w:rsid w:val="00426793"/>
    <w:rsid w:val="00511D08"/>
    <w:rsid w:val="00773572"/>
    <w:rsid w:val="007961BE"/>
    <w:rsid w:val="007A33B5"/>
    <w:rsid w:val="008072D1"/>
    <w:rsid w:val="008C42D6"/>
    <w:rsid w:val="009148B3"/>
    <w:rsid w:val="00B37EFC"/>
    <w:rsid w:val="00C05B34"/>
    <w:rsid w:val="00C671A0"/>
    <w:rsid w:val="00CB00E3"/>
    <w:rsid w:val="00D2476B"/>
    <w:rsid w:val="00DA100F"/>
    <w:rsid w:val="00DD6E44"/>
    <w:rsid w:val="00E356FB"/>
    <w:rsid w:val="00EA0709"/>
    <w:rsid w:val="00ED6E3E"/>
    <w:rsid w:val="00EE0E94"/>
    <w:rsid w:val="00F92246"/>
    <w:rsid w:val="00FA1C17"/>
    <w:rsid w:val="00FC6AD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23F226"/>
  <w15:chartTrackingRefBased/>
  <w15:docId w15:val="{951D8556-965A-49E6-A9D9-6BAE34C4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E0E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0E94"/>
    <w:rPr>
      <w:rFonts w:ascii="Times New Roman" w:eastAsia="Times New Roman" w:hAnsi="Times New Roman" w:cs="Times New Roman"/>
      <w:b/>
      <w:bCs/>
      <w:kern w:val="36"/>
      <w:sz w:val="48"/>
      <w:szCs w:val="48"/>
      <w:lang w:eastAsia="en-SG"/>
      <w14:ligatures w14:val="none"/>
    </w:rPr>
  </w:style>
  <w:style w:type="paragraph" w:styleId="NormalWeb">
    <w:name w:val="Normal (Web)"/>
    <w:basedOn w:val="Normal"/>
    <w:uiPriority w:val="99"/>
    <w:semiHidden/>
    <w:unhideWhenUsed/>
    <w:rsid w:val="00EE0E94"/>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 w:type="character" w:styleId="lev">
    <w:name w:val="Strong"/>
    <w:basedOn w:val="Policepardfaut"/>
    <w:uiPriority w:val="22"/>
    <w:qFormat/>
    <w:rsid w:val="00EE0E94"/>
    <w:rPr>
      <w:b/>
      <w:bCs/>
    </w:rPr>
  </w:style>
  <w:style w:type="character" w:styleId="Accentuation">
    <w:name w:val="Emphasis"/>
    <w:basedOn w:val="Policepardfaut"/>
    <w:uiPriority w:val="20"/>
    <w:qFormat/>
    <w:rsid w:val="00EE0E94"/>
    <w:rPr>
      <w:i/>
      <w:iCs/>
    </w:rPr>
  </w:style>
  <w:style w:type="character" w:styleId="Lienhypertexte">
    <w:name w:val="Hyperlink"/>
    <w:basedOn w:val="Policepardfaut"/>
    <w:uiPriority w:val="99"/>
    <w:unhideWhenUsed/>
    <w:rsid w:val="00EE0E94"/>
    <w:rPr>
      <w:color w:val="0000FF"/>
      <w:u w:val="single"/>
    </w:rPr>
  </w:style>
  <w:style w:type="paragraph" w:styleId="Paragraphedeliste">
    <w:name w:val="List Paragraph"/>
    <w:basedOn w:val="Normal"/>
    <w:uiPriority w:val="34"/>
    <w:qFormat/>
    <w:rsid w:val="008C42D6"/>
    <w:pPr>
      <w:spacing w:after="200" w:line="276" w:lineRule="auto"/>
      <w:ind w:left="720"/>
      <w:contextualSpacing/>
    </w:pPr>
    <w:rPr>
      <w:kern w:val="0"/>
      <w:lang w:val="en-GB"/>
      <w14:ligatures w14:val="none"/>
    </w:rPr>
  </w:style>
  <w:style w:type="paragraph" w:styleId="Notedebasdepage">
    <w:name w:val="footnote text"/>
    <w:basedOn w:val="Normal"/>
    <w:link w:val="NotedebasdepageCar"/>
    <w:uiPriority w:val="99"/>
    <w:unhideWhenUsed/>
    <w:rsid w:val="008C42D6"/>
    <w:pPr>
      <w:spacing w:after="0" w:line="240" w:lineRule="auto"/>
    </w:pPr>
    <w:rPr>
      <w:sz w:val="20"/>
      <w:szCs w:val="20"/>
    </w:rPr>
  </w:style>
  <w:style w:type="character" w:customStyle="1" w:styleId="NotedebasdepageCar">
    <w:name w:val="Note de bas de page Car"/>
    <w:basedOn w:val="Policepardfaut"/>
    <w:link w:val="Notedebasdepage"/>
    <w:uiPriority w:val="99"/>
    <w:rsid w:val="008C42D6"/>
    <w:rPr>
      <w:sz w:val="20"/>
      <w:szCs w:val="20"/>
    </w:rPr>
  </w:style>
  <w:style w:type="character" w:styleId="Appelnotedebasdep">
    <w:name w:val="footnote reference"/>
    <w:basedOn w:val="Policepardfaut"/>
    <w:uiPriority w:val="99"/>
    <w:semiHidden/>
    <w:unhideWhenUsed/>
    <w:rsid w:val="008C42D6"/>
    <w:rPr>
      <w:vertAlign w:val="superscript"/>
    </w:rPr>
  </w:style>
  <w:style w:type="paragraph" w:customStyle="1" w:styleId="Default">
    <w:name w:val="Default"/>
    <w:rsid w:val="009148B3"/>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Mentionnonrsolue1">
    <w:name w:val="Mention non résolue1"/>
    <w:basedOn w:val="Policepardfaut"/>
    <w:uiPriority w:val="99"/>
    <w:semiHidden/>
    <w:unhideWhenUsed/>
    <w:rsid w:val="000B0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4247">
      <w:bodyDiv w:val="1"/>
      <w:marLeft w:val="0"/>
      <w:marRight w:val="0"/>
      <w:marTop w:val="0"/>
      <w:marBottom w:val="0"/>
      <w:divBdr>
        <w:top w:val="none" w:sz="0" w:space="0" w:color="auto"/>
        <w:left w:val="none" w:sz="0" w:space="0" w:color="auto"/>
        <w:bottom w:val="none" w:sz="0" w:space="0" w:color="auto"/>
        <w:right w:val="none" w:sz="0" w:space="0" w:color="auto"/>
      </w:divBdr>
      <w:divsChild>
        <w:div w:id="2057729574">
          <w:marLeft w:val="0"/>
          <w:marRight w:val="0"/>
          <w:marTop w:val="90"/>
          <w:marBottom w:val="375"/>
          <w:divBdr>
            <w:top w:val="none" w:sz="0" w:space="0" w:color="auto"/>
            <w:left w:val="none" w:sz="0" w:space="0" w:color="auto"/>
            <w:bottom w:val="dotted" w:sz="6" w:space="4" w:color="D8D9E8"/>
            <w:right w:val="none" w:sz="0" w:space="0" w:color="auto"/>
          </w:divBdr>
        </w:div>
        <w:div w:id="147210572">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 w:id="393241929">
      <w:bodyDiv w:val="1"/>
      <w:marLeft w:val="0"/>
      <w:marRight w:val="0"/>
      <w:marTop w:val="0"/>
      <w:marBottom w:val="0"/>
      <w:divBdr>
        <w:top w:val="none" w:sz="0" w:space="0" w:color="auto"/>
        <w:left w:val="none" w:sz="0" w:space="0" w:color="auto"/>
        <w:bottom w:val="none" w:sz="0" w:space="0" w:color="auto"/>
        <w:right w:val="none" w:sz="0" w:space="0" w:color="auto"/>
      </w:divBdr>
    </w:div>
    <w:div w:id="7453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hec.infrastructure.institu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mateimpact.edhec.edu" TargetMode="External"/><Relationship Id="rId5" Type="http://schemas.openxmlformats.org/officeDocument/2006/relationships/webSettings" Target="webSettings.xml"/><Relationship Id="rId10" Type="http://schemas.openxmlformats.org/officeDocument/2006/relationships/hyperlink" Target="mailto:maud.gauchon@climateimpactedhec.com?subject=EDHEC-Risk%20Climate%20Impact%20Institute%20Press%20Release" TargetMode="External"/><Relationship Id="rId4" Type="http://schemas.openxmlformats.org/officeDocument/2006/relationships/settings" Target="settings.xml"/><Relationship Id="rId9" Type="http://schemas.openxmlformats.org/officeDocument/2006/relationships/hyperlink" Target="https://ec.europa.eu/info/law/better-regulation/have-your-say/initiatives/13765-European-sustainability-reporting-standards-first-set/F3430074_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6827-2716-40DF-8D48-F80B590C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1448</Words>
  <Characters>7968</Characters>
  <Application>Microsoft Office Word</Application>
  <DocSecurity>4</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DUCOULOMBIER Frédéric</dc:creator>
  <cp:keywords/>
  <dc:description/>
  <cp:lastModifiedBy>GAUCHON Maud</cp:lastModifiedBy>
  <cp:revision>2</cp:revision>
  <dcterms:created xsi:type="dcterms:W3CDTF">2023-08-07T07:46:00Z</dcterms:created>
  <dcterms:modified xsi:type="dcterms:W3CDTF">2023-08-07T07:46:00Z</dcterms:modified>
</cp:coreProperties>
</file>