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4B47" w14:textId="77777777" w:rsidR="004D0478" w:rsidRPr="00367E63" w:rsidRDefault="000B3EAD" w:rsidP="0060668E">
      <w:pPr>
        <w:spacing w:line="280" w:lineRule="exact"/>
        <w:jc w:val="center"/>
        <w:rPr>
          <w:rFonts w:ascii="Arial Narrow" w:hAnsi="Arial Narrow"/>
          <w:b/>
          <w:sz w:val="26"/>
        </w:rPr>
      </w:pPr>
      <w:r w:rsidRPr="00367E63">
        <w:rPr>
          <w:noProof/>
          <w:lang w:val="fr-FR"/>
        </w:rPr>
        <w:drawing>
          <wp:anchor distT="0" distB="0" distL="114300" distR="114300" simplePos="0" relativeHeight="251657216" behindDoc="1" locked="0" layoutInCell="1" allowOverlap="1" wp14:anchorId="35C72B24" wp14:editId="34CEC21F">
            <wp:simplePos x="0" y="0"/>
            <wp:positionH relativeFrom="column">
              <wp:posOffset>1919605</wp:posOffset>
            </wp:positionH>
            <wp:positionV relativeFrom="paragraph">
              <wp:posOffset>-178435</wp:posOffset>
            </wp:positionV>
            <wp:extent cx="1943100" cy="752475"/>
            <wp:effectExtent l="19050" t="0" r="0" b="0"/>
            <wp:wrapTight wrapText="bothSides">
              <wp:wrapPolygon edited="0">
                <wp:start x="-212" y="0"/>
                <wp:lineTo x="-212" y="21327"/>
                <wp:lineTo x="21600" y="21327"/>
                <wp:lineTo x="21600" y="0"/>
                <wp:lineTo x="-212" y="0"/>
              </wp:wrapPolygon>
            </wp:wrapTight>
            <wp:docPr id="18" name="Picture 18" descr="edhec-ris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hec-risk institute"/>
                    <pic:cNvPicPr>
                      <a:picLocks noChangeAspect="1" noChangeArrowheads="1"/>
                    </pic:cNvPicPr>
                  </pic:nvPicPr>
                  <pic:blipFill>
                    <a:blip r:embed="rId11" cstate="print"/>
                    <a:srcRect/>
                    <a:stretch>
                      <a:fillRect/>
                    </a:stretch>
                  </pic:blipFill>
                  <pic:spPr bwMode="auto">
                    <a:xfrm>
                      <a:off x="0" y="0"/>
                      <a:ext cx="1943100" cy="752475"/>
                    </a:xfrm>
                    <a:prstGeom prst="rect">
                      <a:avLst/>
                    </a:prstGeom>
                    <a:noFill/>
                    <a:ln w="9525">
                      <a:noFill/>
                      <a:miter lim="800000"/>
                      <a:headEnd/>
                      <a:tailEnd/>
                    </a:ln>
                  </pic:spPr>
                </pic:pic>
              </a:graphicData>
            </a:graphic>
          </wp:anchor>
        </w:drawing>
      </w:r>
    </w:p>
    <w:p w14:paraId="07CCCB8C" w14:textId="77777777" w:rsidR="00C203DD" w:rsidRPr="00367E63" w:rsidRDefault="00C203DD">
      <w:pPr>
        <w:pStyle w:val="En-tte"/>
        <w:tabs>
          <w:tab w:val="clear" w:pos="4536"/>
          <w:tab w:val="clear" w:pos="9072"/>
        </w:tabs>
        <w:rPr>
          <w:b/>
          <w:sz w:val="32"/>
        </w:rPr>
      </w:pPr>
    </w:p>
    <w:p w14:paraId="56A96AC9" w14:textId="77777777" w:rsidR="0009747F" w:rsidRPr="00367E63" w:rsidRDefault="0009747F" w:rsidP="005C03E7">
      <w:pPr>
        <w:pStyle w:val="En-tte"/>
        <w:tabs>
          <w:tab w:val="clear" w:pos="4536"/>
          <w:tab w:val="clear" w:pos="9072"/>
        </w:tabs>
        <w:jc w:val="right"/>
        <w:rPr>
          <w:b/>
          <w:sz w:val="32"/>
        </w:rPr>
      </w:pPr>
    </w:p>
    <w:p w14:paraId="3C729250" w14:textId="77777777" w:rsidR="000B3EAD" w:rsidRPr="00367E63" w:rsidRDefault="000B3EAD" w:rsidP="00F409B2">
      <w:pPr>
        <w:pStyle w:val="En-tte"/>
        <w:tabs>
          <w:tab w:val="clear" w:pos="4536"/>
          <w:tab w:val="clear" w:pos="9072"/>
          <w:tab w:val="right" w:pos="9000"/>
        </w:tabs>
        <w:rPr>
          <w:b/>
          <w:bCs/>
          <w:sz w:val="24"/>
          <w:szCs w:val="24"/>
        </w:rPr>
      </w:pPr>
    </w:p>
    <w:p w14:paraId="1263D31E" w14:textId="77777777" w:rsidR="000B3EAD" w:rsidRPr="00367E63" w:rsidRDefault="000B3EAD" w:rsidP="00F409B2">
      <w:pPr>
        <w:pStyle w:val="En-tte"/>
        <w:tabs>
          <w:tab w:val="clear" w:pos="4536"/>
          <w:tab w:val="clear" w:pos="9072"/>
          <w:tab w:val="right" w:pos="9000"/>
        </w:tabs>
        <w:rPr>
          <w:b/>
          <w:bCs/>
          <w:sz w:val="24"/>
          <w:szCs w:val="24"/>
        </w:rPr>
      </w:pPr>
    </w:p>
    <w:p w14:paraId="1AA6E763" w14:textId="77777777" w:rsidR="004D0478" w:rsidRPr="00367E63" w:rsidRDefault="004D0478" w:rsidP="00F409B2">
      <w:pPr>
        <w:pStyle w:val="En-tte"/>
        <w:tabs>
          <w:tab w:val="clear" w:pos="4536"/>
          <w:tab w:val="clear" w:pos="9072"/>
          <w:tab w:val="right" w:pos="9000"/>
        </w:tabs>
        <w:rPr>
          <w:b/>
          <w:snapToGrid w:val="0"/>
          <w:color w:val="000000"/>
          <w:sz w:val="24"/>
        </w:rPr>
      </w:pPr>
      <w:r w:rsidRPr="00367E63">
        <w:rPr>
          <w:b/>
          <w:bCs/>
          <w:sz w:val="24"/>
          <w:szCs w:val="24"/>
        </w:rPr>
        <w:t>Press Release</w:t>
      </w:r>
      <w:r w:rsidR="000F1556" w:rsidRPr="00367E63">
        <w:rPr>
          <w:b/>
          <w:bCs/>
          <w:sz w:val="24"/>
          <w:szCs w:val="24"/>
        </w:rPr>
        <w:tab/>
      </w:r>
      <w:r w:rsidR="004F7E21" w:rsidRPr="00367E63">
        <w:rPr>
          <w:b/>
          <w:bCs/>
          <w:sz w:val="24"/>
          <w:szCs w:val="24"/>
        </w:rPr>
        <w:t xml:space="preserve">London, </w:t>
      </w:r>
      <w:r w:rsidR="003A3F4B" w:rsidRPr="00367E63">
        <w:rPr>
          <w:b/>
          <w:snapToGrid w:val="0"/>
          <w:color w:val="000000"/>
          <w:sz w:val="24"/>
        </w:rPr>
        <w:t>Nice,</w:t>
      </w:r>
      <w:r w:rsidR="00560A3B" w:rsidRPr="00367E63">
        <w:rPr>
          <w:b/>
          <w:snapToGrid w:val="0"/>
          <w:color w:val="000000"/>
          <w:sz w:val="24"/>
        </w:rPr>
        <w:t xml:space="preserve"> </w:t>
      </w:r>
      <w:r w:rsidR="00B22CF3" w:rsidRPr="00367E63">
        <w:rPr>
          <w:b/>
          <w:snapToGrid w:val="0"/>
          <w:color w:val="000000"/>
          <w:sz w:val="24"/>
        </w:rPr>
        <w:t xml:space="preserve">Paris, </w:t>
      </w:r>
      <w:r w:rsidR="001C3C52">
        <w:rPr>
          <w:b/>
          <w:snapToGrid w:val="0"/>
          <w:color w:val="000000"/>
          <w:sz w:val="24"/>
        </w:rPr>
        <w:t>March 30</w:t>
      </w:r>
      <w:r w:rsidR="00D975ED" w:rsidRPr="00367E63">
        <w:rPr>
          <w:b/>
          <w:snapToGrid w:val="0"/>
          <w:color w:val="000000"/>
          <w:sz w:val="24"/>
        </w:rPr>
        <w:t>,</w:t>
      </w:r>
      <w:r w:rsidR="004540A3" w:rsidRPr="00367E63">
        <w:rPr>
          <w:b/>
          <w:snapToGrid w:val="0"/>
          <w:color w:val="000000"/>
          <w:sz w:val="24"/>
        </w:rPr>
        <w:t xml:space="preserve"> 20</w:t>
      </w:r>
      <w:r w:rsidR="00AD6635">
        <w:rPr>
          <w:b/>
          <w:snapToGrid w:val="0"/>
          <w:color w:val="000000"/>
          <w:sz w:val="24"/>
        </w:rPr>
        <w:t>21</w:t>
      </w:r>
    </w:p>
    <w:p w14:paraId="1007915E" w14:textId="77777777" w:rsidR="00AE5609" w:rsidRPr="00367E63" w:rsidRDefault="00AE5609" w:rsidP="00AE5609">
      <w:pPr>
        <w:autoSpaceDE w:val="0"/>
        <w:autoSpaceDN w:val="0"/>
        <w:adjustRightInd w:val="0"/>
        <w:spacing w:line="260" w:lineRule="atLeast"/>
        <w:rPr>
          <w:color w:val="000000"/>
          <w:sz w:val="22"/>
          <w:szCs w:val="22"/>
        </w:rPr>
      </w:pPr>
    </w:p>
    <w:p w14:paraId="0D6072CE" w14:textId="77777777" w:rsidR="00560A3B" w:rsidRPr="00367E63" w:rsidRDefault="00560A3B" w:rsidP="00AE5609">
      <w:pPr>
        <w:autoSpaceDE w:val="0"/>
        <w:autoSpaceDN w:val="0"/>
        <w:adjustRightInd w:val="0"/>
        <w:spacing w:line="260" w:lineRule="atLeast"/>
        <w:rPr>
          <w:color w:val="000000"/>
          <w:sz w:val="22"/>
          <w:szCs w:val="22"/>
        </w:rPr>
      </w:pPr>
    </w:p>
    <w:p w14:paraId="48211064" w14:textId="77777777" w:rsidR="00B66FCF" w:rsidRDefault="00EF6DBD" w:rsidP="00D95B61">
      <w:pPr>
        <w:jc w:val="center"/>
        <w:rPr>
          <w:b/>
          <w:sz w:val="34"/>
          <w:szCs w:val="34"/>
        </w:rPr>
      </w:pPr>
      <w:r>
        <w:rPr>
          <w:b/>
          <w:sz w:val="34"/>
          <w:szCs w:val="34"/>
        </w:rPr>
        <w:t xml:space="preserve">New </w:t>
      </w:r>
      <w:r w:rsidR="0086446C">
        <w:rPr>
          <w:b/>
          <w:sz w:val="34"/>
          <w:szCs w:val="34"/>
        </w:rPr>
        <w:t>EDHEC-Risk Institute paper</w:t>
      </w:r>
      <w:r>
        <w:rPr>
          <w:b/>
          <w:sz w:val="34"/>
          <w:szCs w:val="34"/>
        </w:rPr>
        <w:t xml:space="preserve"> </w:t>
      </w:r>
      <w:r w:rsidR="00120292" w:rsidRPr="00D95B61">
        <w:rPr>
          <w:b/>
          <w:sz w:val="34"/>
          <w:szCs w:val="34"/>
        </w:rPr>
        <w:t>explor</w:t>
      </w:r>
      <w:r w:rsidR="00120292">
        <w:rPr>
          <w:b/>
          <w:sz w:val="34"/>
          <w:szCs w:val="34"/>
        </w:rPr>
        <w:t>es</w:t>
      </w:r>
      <w:r w:rsidR="00D95B61">
        <w:rPr>
          <w:b/>
          <w:sz w:val="34"/>
          <w:szCs w:val="34"/>
        </w:rPr>
        <w:t xml:space="preserve"> </w:t>
      </w:r>
      <w:r w:rsidR="00D95B61" w:rsidRPr="00D95B61">
        <w:rPr>
          <w:b/>
          <w:sz w:val="34"/>
          <w:szCs w:val="34"/>
        </w:rPr>
        <w:t>the impact of ESG factors on risk and return of sovereign bonds</w:t>
      </w:r>
    </w:p>
    <w:p w14:paraId="377EB813" w14:textId="77777777" w:rsidR="00D95B61" w:rsidRDefault="00D95B61" w:rsidP="00D95B61">
      <w:pPr>
        <w:jc w:val="center"/>
      </w:pPr>
    </w:p>
    <w:p w14:paraId="13689263" w14:textId="77777777" w:rsidR="006B56F0" w:rsidRDefault="006B56F0" w:rsidP="006621CE"/>
    <w:p w14:paraId="2DC49F81" w14:textId="63F8E692" w:rsidR="006B56F0" w:rsidRPr="0041033C" w:rsidRDefault="00B91A5F" w:rsidP="006621CE">
      <w:pPr>
        <w:rPr>
          <w:sz w:val="22"/>
          <w:szCs w:val="22"/>
        </w:rPr>
      </w:pPr>
      <w:r w:rsidRPr="0041033C">
        <w:rPr>
          <w:color w:val="000000" w:themeColor="text1"/>
          <w:sz w:val="22"/>
          <w:szCs w:val="22"/>
        </w:rPr>
        <w:t>In the l</w:t>
      </w:r>
      <w:r w:rsidR="006B56F0" w:rsidRPr="0041033C">
        <w:rPr>
          <w:color w:val="000000" w:themeColor="text1"/>
          <w:sz w:val="22"/>
          <w:szCs w:val="22"/>
        </w:rPr>
        <w:t xml:space="preserve">ast decade, sustainable and responsible investing have </w:t>
      </w:r>
      <w:r w:rsidR="005C18A4" w:rsidRPr="0041033C">
        <w:rPr>
          <w:color w:val="000000" w:themeColor="text1"/>
          <w:sz w:val="22"/>
          <w:szCs w:val="22"/>
        </w:rPr>
        <w:t xml:space="preserve">become </w:t>
      </w:r>
      <w:r w:rsidRPr="0041033C">
        <w:rPr>
          <w:color w:val="000000" w:themeColor="text1"/>
          <w:sz w:val="22"/>
          <w:szCs w:val="22"/>
        </w:rPr>
        <w:t>more importan</w:t>
      </w:r>
      <w:r w:rsidR="005C18A4" w:rsidRPr="0041033C">
        <w:rPr>
          <w:color w:val="000000" w:themeColor="text1"/>
          <w:sz w:val="22"/>
          <w:szCs w:val="22"/>
        </w:rPr>
        <w:t>t</w:t>
      </w:r>
      <w:r w:rsidRPr="0041033C">
        <w:rPr>
          <w:color w:val="000000" w:themeColor="text1"/>
          <w:sz w:val="22"/>
          <w:szCs w:val="22"/>
        </w:rPr>
        <w:t xml:space="preserve"> </w:t>
      </w:r>
      <w:r w:rsidR="006B56F0" w:rsidRPr="0041033C">
        <w:rPr>
          <w:color w:val="000000" w:themeColor="text1"/>
          <w:sz w:val="22"/>
          <w:szCs w:val="22"/>
        </w:rPr>
        <w:t>and gained in popularity among investors</w:t>
      </w:r>
      <w:r w:rsidR="00FD088A" w:rsidRPr="0041033C">
        <w:rPr>
          <w:color w:val="000000" w:themeColor="text1"/>
          <w:sz w:val="22"/>
          <w:szCs w:val="22"/>
        </w:rPr>
        <w:t xml:space="preserve">. With global ESG </w:t>
      </w:r>
      <w:r w:rsidR="008A5E02" w:rsidRPr="0041033C">
        <w:rPr>
          <w:color w:val="000000" w:themeColor="text1"/>
          <w:sz w:val="22"/>
          <w:szCs w:val="22"/>
        </w:rPr>
        <w:t>assets in mutual funds and ETFs d</w:t>
      </w:r>
      <w:r w:rsidR="00FD088A" w:rsidRPr="0041033C">
        <w:rPr>
          <w:color w:val="000000" w:themeColor="text1"/>
          <w:sz w:val="22"/>
          <w:szCs w:val="22"/>
        </w:rPr>
        <w:t xml:space="preserve">oubling in the five years to </w:t>
      </w:r>
      <w:r w:rsidR="004E33F1" w:rsidRPr="0041033C">
        <w:rPr>
          <w:color w:val="000000" w:themeColor="text1"/>
          <w:sz w:val="22"/>
          <w:szCs w:val="22"/>
        </w:rPr>
        <w:t xml:space="preserve">June </w:t>
      </w:r>
      <w:r w:rsidR="00FD088A" w:rsidRPr="0041033C">
        <w:rPr>
          <w:color w:val="000000" w:themeColor="text1"/>
          <w:sz w:val="22"/>
          <w:szCs w:val="22"/>
        </w:rPr>
        <w:t>2020</w:t>
      </w:r>
      <w:r w:rsidR="008A5E02" w:rsidRPr="0041033C">
        <w:rPr>
          <w:rStyle w:val="Appelnotedebasdep"/>
          <w:color w:val="000000" w:themeColor="text1"/>
          <w:sz w:val="22"/>
          <w:szCs w:val="22"/>
        </w:rPr>
        <w:footnoteReference w:id="1"/>
      </w:r>
      <w:r w:rsidR="00625D3D" w:rsidRPr="0041033C">
        <w:rPr>
          <w:color w:val="000000" w:themeColor="text1"/>
          <w:sz w:val="22"/>
          <w:szCs w:val="22"/>
        </w:rPr>
        <w:t xml:space="preserve"> </w:t>
      </w:r>
      <w:r w:rsidR="004E33F1" w:rsidRPr="0041033C">
        <w:rPr>
          <w:color w:val="000000" w:themeColor="text1"/>
          <w:sz w:val="22"/>
          <w:szCs w:val="22"/>
        </w:rPr>
        <w:t>and reaching</w:t>
      </w:r>
      <w:r w:rsidR="00625D3D" w:rsidRPr="0041033C">
        <w:rPr>
          <w:color w:val="000000" w:themeColor="text1"/>
          <w:sz w:val="22"/>
          <w:szCs w:val="22"/>
        </w:rPr>
        <w:t xml:space="preserve"> </w:t>
      </w:r>
      <w:r w:rsidR="00201982" w:rsidRPr="0041033C">
        <w:rPr>
          <w:color w:val="000000" w:themeColor="text1"/>
          <w:sz w:val="22"/>
          <w:szCs w:val="22"/>
        </w:rPr>
        <w:t xml:space="preserve">almost </w:t>
      </w:r>
      <w:r w:rsidR="00625D3D" w:rsidRPr="0041033C">
        <w:rPr>
          <w:color w:val="000000" w:themeColor="text1"/>
          <w:sz w:val="22"/>
          <w:szCs w:val="22"/>
        </w:rPr>
        <w:t>USD 1.7 trillion</w:t>
      </w:r>
      <w:r w:rsidR="004E33F1" w:rsidRPr="0041033C">
        <w:rPr>
          <w:color w:val="000000" w:themeColor="text1"/>
          <w:sz w:val="22"/>
          <w:szCs w:val="22"/>
        </w:rPr>
        <w:t xml:space="preserve"> by the end of 2020</w:t>
      </w:r>
      <w:r w:rsidR="006E55F2">
        <w:rPr>
          <w:color w:val="000000" w:themeColor="text1"/>
          <w:sz w:val="22"/>
          <w:szCs w:val="22"/>
        </w:rPr>
        <w:t>,</w:t>
      </w:r>
      <w:r w:rsidR="00AD4E1D" w:rsidRPr="0041033C">
        <w:rPr>
          <w:rStyle w:val="Appelnotedebasdep"/>
          <w:color w:val="000000" w:themeColor="text1"/>
          <w:sz w:val="22"/>
          <w:szCs w:val="22"/>
        </w:rPr>
        <w:footnoteReference w:id="2"/>
      </w:r>
      <w:r w:rsidR="00F71ED1" w:rsidRPr="0041033C">
        <w:rPr>
          <w:color w:val="000000" w:themeColor="text1"/>
          <w:sz w:val="22"/>
          <w:szCs w:val="22"/>
        </w:rPr>
        <w:t xml:space="preserve"> </w:t>
      </w:r>
      <w:r w:rsidRPr="0041033C">
        <w:rPr>
          <w:color w:val="000000" w:themeColor="text1"/>
          <w:sz w:val="22"/>
          <w:szCs w:val="22"/>
        </w:rPr>
        <w:t xml:space="preserve">there is growing recognition </w:t>
      </w:r>
      <w:r w:rsidR="006B56F0" w:rsidRPr="0041033C">
        <w:rPr>
          <w:color w:val="000000" w:themeColor="text1"/>
          <w:sz w:val="22"/>
          <w:szCs w:val="22"/>
        </w:rPr>
        <w:t xml:space="preserve">that the financial system has a </w:t>
      </w:r>
      <w:r w:rsidRPr="0041033C">
        <w:rPr>
          <w:color w:val="000000" w:themeColor="text1"/>
          <w:sz w:val="22"/>
          <w:szCs w:val="22"/>
        </w:rPr>
        <w:t xml:space="preserve">crucial </w:t>
      </w:r>
      <w:r w:rsidR="006B56F0" w:rsidRPr="0041033C">
        <w:rPr>
          <w:color w:val="000000" w:themeColor="text1"/>
          <w:sz w:val="22"/>
          <w:szCs w:val="22"/>
        </w:rPr>
        <w:t>role to play in the transition to a low-carbon and climate-resilient economy.</w:t>
      </w:r>
    </w:p>
    <w:p w14:paraId="6B27F2E6" w14:textId="77777777" w:rsidR="006B56F0" w:rsidRPr="0041033C" w:rsidRDefault="006B56F0" w:rsidP="006621CE">
      <w:pPr>
        <w:rPr>
          <w:sz w:val="22"/>
          <w:szCs w:val="22"/>
        </w:rPr>
      </w:pPr>
    </w:p>
    <w:p w14:paraId="769E55FE" w14:textId="64BF154E" w:rsidR="006621CE" w:rsidRPr="0041033C" w:rsidRDefault="006621CE" w:rsidP="006621CE">
      <w:pPr>
        <w:spacing w:line="280" w:lineRule="atLeast"/>
        <w:jc w:val="both"/>
        <w:rPr>
          <w:b/>
          <w:snapToGrid w:val="0"/>
          <w:color w:val="000000"/>
          <w:sz w:val="22"/>
          <w:szCs w:val="22"/>
        </w:rPr>
      </w:pPr>
      <w:r w:rsidRPr="0041033C">
        <w:rPr>
          <w:sz w:val="22"/>
          <w:szCs w:val="22"/>
        </w:rPr>
        <w:t xml:space="preserve">In a new publication </w:t>
      </w:r>
      <w:r w:rsidR="006E55F2">
        <w:rPr>
          <w:sz w:val="22"/>
          <w:szCs w:val="22"/>
        </w:rPr>
        <w:t>en</w:t>
      </w:r>
      <w:r w:rsidRPr="0041033C">
        <w:rPr>
          <w:sz w:val="22"/>
          <w:szCs w:val="22"/>
        </w:rPr>
        <w:t>titled “</w:t>
      </w:r>
      <w:r w:rsidRPr="0041033C">
        <w:rPr>
          <w:sz w:val="22"/>
          <w:szCs w:val="22"/>
          <w:u w:val="single"/>
        </w:rPr>
        <w:t>Measuring and Managing ESG Risks in Sovereign Bond Portfolios and Implications for Sovereign Debt Investing</w:t>
      </w:r>
      <w:r w:rsidRPr="0041033C">
        <w:rPr>
          <w:sz w:val="22"/>
          <w:szCs w:val="22"/>
        </w:rPr>
        <w:t xml:space="preserve">”, EDHEC-Risk Institute, with the support of Amundi ETF, Indexing &amp; Smart Beta, </w:t>
      </w:r>
      <w:r w:rsidRPr="0041033C">
        <w:rPr>
          <w:b/>
          <w:color w:val="000000" w:themeColor="text1"/>
          <w:sz w:val="22"/>
          <w:szCs w:val="22"/>
        </w:rPr>
        <w:t xml:space="preserve">develops a formal framework for incorporating </w:t>
      </w:r>
      <w:r w:rsidR="00DE2176" w:rsidRPr="0041033C">
        <w:rPr>
          <w:b/>
          <w:color w:val="000000" w:themeColor="text1"/>
          <w:sz w:val="22"/>
          <w:szCs w:val="22"/>
        </w:rPr>
        <w:t>e</w:t>
      </w:r>
      <w:r w:rsidRPr="0041033C">
        <w:rPr>
          <w:b/>
          <w:color w:val="000000" w:themeColor="text1"/>
          <w:sz w:val="22"/>
          <w:szCs w:val="22"/>
        </w:rPr>
        <w:t>nvironment</w:t>
      </w:r>
      <w:r w:rsidR="00027F3E" w:rsidRPr="0041033C">
        <w:rPr>
          <w:b/>
          <w:color w:val="000000" w:themeColor="text1"/>
          <w:sz w:val="22"/>
          <w:szCs w:val="22"/>
        </w:rPr>
        <w:t>al</w:t>
      </w:r>
      <w:r w:rsidRPr="0041033C">
        <w:rPr>
          <w:b/>
          <w:color w:val="000000" w:themeColor="text1"/>
          <w:sz w:val="22"/>
          <w:szCs w:val="22"/>
        </w:rPr>
        <w:t xml:space="preserve">, </w:t>
      </w:r>
      <w:r w:rsidR="00DE2176" w:rsidRPr="0041033C">
        <w:rPr>
          <w:b/>
          <w:color w:val="000000" w:themeColor="text1"/>
          <w:sz w:val="22"/>
          <w:szCs w:val="22"/>
        </w:rPr>
        <w:t>s</w:t>
      </w:r>
      <w:r w:rsidRPr="0041033C">
        <w:rPr>
          <w:b/>
          <w:color w:val="000000" w:themeColor="text1"/>
          <w:sz w:val="22"/>
          <w:szCs w:val="22"/>
        </w:rPr>
        <w:t>ocial and governance (ESG) criteria in</w:t>
      </w:r>
      <w:r w:rsidR="006E55F2">
        <w:rPr>
          <w:b/>
          <w:color w:val="000000" w:themeColor="text1"/>
          <w:sz w:val="22"/>
          <w:szCs w:val="22"/>
        </w:rPr>
        <w:t>to</w:t>
      </w:r>
      <w:r w:rsidRPr="0041033C">
        <w:rPr>
          <w:b/>
          <w:color w:val="000000" w:themeColor="text1"/>
          <w:sz w:val="22"/>
          <w:szCs w:val="22"/>
        </w:rPr>
        <w:t xml:space="preserve"> risk management and investment decisions involving sovereign bond</w:t>
      </w:r>
      <w:r w:rsidRPr="0041033C">
        <w:rPr>
          <w:color w:val="000000" w:themeColor="text1"/>
          <w:sz w:val="22"/>
          <w:szCs w:val="22"/>
        </w:rPr>
        <w:t>s.</w:t>
      </w:r>
      <w:bookmarkStart w:id="0" w:name="_GoBack"/>
      <w:bookmarkEnd w:id="0"/>
    </w:p>
    <w:p w14:paraId="3355D59B" w14:textId="77777777" w:rsidR="006621CE" w:rsidRPr="0041033C" w:rsidRDefault="006621CE" w:rsidP="006C4B58">
      <w:pPr>
        <w:spacing w:line="280" w:lineRule="atLeast"/>
        <w:jc w:val="both"/>
        <w:rPr>
          <w:sz w:val="22"/>
          <w:szCs w:val="22"/>
        </w:rPr>
      </w:pPr>
    </w:p>
    <w:p w14:paraId="7EF0572C" w14:textId="5AB9B843" w:rsidR="006621CE" w:rsidRPr="0041033C" w:rsidRDefault="006621CE" w:rsidP="006C4B58">
      <w:pPr>
        <w:spacing w:line="280" w:lineRule="atLeast"/>
        <w:jc w:val="both"/>
        <w:rPr>
          <w:sz w:val="22"/>
          <w:szCs w:val="22"/>
        </w:rPr>
      </w:pPr>
      <w:r w:rsidRPr="0041033C">
        <w:rPr>
          <w:sz w:val="22"/>
          <w:szCs w:val="22"/>
        </w:rPr>
        <w:t xml:space="preserve">The main </w:t>
      </w:r>
      <w:r w:rsidR="006B56F0" w:rsidRPr="0041033C">
        <w:rPr>
          <w:sz w:val="22"/>
          <w:szCs w:val="22"/>
        </w:rPr>
        <w:t>objective is to assess whether</w:t>
      </w:r>
      <w:r w:rsidR="009D4A8C" w:rsidRPr="0041033C">
        <w:rPr>
          <w:sz w:val="22"/>
          <w:szCs w:val="22"/>
        </w:rPr>
        <w:t xml:space="preserve"> it is possible to incorporate</w:t>
      </w:r>
      <w:r w:rsidR="006B56F0" w:rsidRPr="0041033C">
        <w:rPr>
          <w:sz w:val="22"/>
          <w:szCs w:val="22"/>
        </w:rPr>
        <w:t xml:space="preserve"> ESG constraints through a significant improvement of the portfolio ESG score without a substantial increase in absolute and relative risk budgets, or a substantial decrease in expected performance.</w:t>
      </w:r>
    </w:p>
    <w:p w14:paraId="654D3834" w14:textId="77777777" w:rsidR="006621CE" w:rsidRPr="0041033C" w:rsidRDefault="006621CE" w:rsidP="006C4B58">
      <w:pPr>
        <w:spacing w:line="280" w:lineRule="atLeast"/>
        <w:jc w:val="both"/>
        <w:rPr>
          <w:sz w:val="22"/>
          <w:szCs w:val="22"/>
        </w:rPr>
      </w:pPr>
    </w:p>
    <w:p w14:paraId="5E722198" w14:textId="5EB26187" w:rsidR="006621CE" w:rsidRPr="0041033C" w:rsidRDefault="0005566E" w:rsidP="006621CE">
      <w:pPr>
        <w:rPr>
          <w:sz w:val="22"/>
          <w:szCs w:val="22"/>
        </w:rPr>
      </w:pPr>
      <w:r w:rsidRPr="0041033C">
        <w:rPr>
          <w:sz w:val="22"/>
          <w:szCs w:val="22"/>
        </w:rPr>
        <w:t>The authors of the study</w:t>
      </w:r>
      <w:r w:rsidR="006621CE" w:rsidRPr="0041033C">
        <w:rPr>
          <w:sz w:val="22"/>
          <w:szCs w:val="22"/>
        </w:rPr>
        <w:t xml:space="preserve"> draw </w:t>
      </w:r>
      <w:r w:rsidR="00DE2176" w:rsidRPr="0041033C">
        <w:rPr>
          <w:sz w:val="22"/>
          <w:szCs w:val="22"/>
        </w:rPr>
        <w:t>four</w:t>
      </w:r>
      <w:r w:rsidR="00AD4E1D" w:rsidRPr="0041033C">
        <w:rPr>
          <w:sz w:val="22"/>
          <w:szCs w:val="22"/>
        </w:rPr>
        <w:t xml:space="preserve"> </w:t>
      </w:r>
      <w:r w:rsidR="006621CE" w:rsidRPr="0041033C">
        <w:rPr>
          <w:sz w:val="22"/>
          <w:szCs w:val="22"/>
        </w:rPr>
        <w:t>major conclusions:</w:t>
      </w:r>
    </w:p>
    <w:p w14:paraId="5B7FA3FA" w14:textId="77777777" w:rsidR="00AB5861" w:rsidRPr="0041033C" w:rsidRDefault="00AB5861" w:rsidP="0005566E">
      <w:pPr>
        <w:pStyle w:val="Paragraphedeliste"/>
        <w:numPr>
          <w:ilvl w:val="0"/>
          <w:numId w:val="24"/>
        </w:numPr>
        <w:spacing w:after="0"/>
        <w:rPr>
          <w:rFonts w:ascii="Times New Roman" w:eastAsia="Times New Roman" w:hAnsi="Times New Roman" w:cs="Times New Roman"/>
          <w:lang w:eastAsia="fr-FR"/>
        </w:rPr>
      </w:pPr>
      <w:r w:rsidRPr="0041033C">
        <w:rPr>
          <w:rFonts w:ascii="Times New Roman" w:eastAsia="Times New Roman" w:hAnsi="Times New Roman" w:cs="Times New Roman"/>
          <w:lang w:eastAsia="fr-FR"/>
        </w:rPr>
        <w:t>Higher environmental scores for developed countries and higher social scores for emerging countries are associated with lower costs of borrowing for issuers and consequently with lower yields for investors</w:t>
      </w:r>
      <w:r w:rsidR="00DE2176" w:rsidRPr="0041033C">
        <w:rPr>
          <w:rFonts w:ascii="Times New Roman" w:eastAsia="Times New Roman" w:hAnsi="Times New Roman" w:cs="Times New Roman"/>
          <w:lang w:eastAsia="fr-FR"/>
        </w:rPr>
        <w:t>.</w:t>
      </w:r>
    </w:p>
    <w:p w14:paraId="4AC28CE7" w14:textId="77777777" w:rsidR="006621CE" w:rsidRPr="0041033C" w:rsidRDefault="00AB5861" w:rsidP="0005566E">
      <w:pPr>
        <w:pStyle w:val="Paragraphedeliste"/>
        <w:numPr>
          <w:ilvl w:val="0"/>
          <w:numId w:val="24"/>
        </w:numPr>
        <w:spacing w:after="0"/>
        <w:rPr>
          <w:rFonts w:ascii="Times New Roman" w:eastAsia="Times New Roman" w:hAnsi="Times New Roman" w:cs="Times New Roman"/>
          <w:lang w:eastAsia="fr-FR"/>
        </w:rPr>
      </w:pPr>
      <w:r w:rsidRPr="0041033C">
        <w:rPr>
          <w:rFonts w:ascii="Times New Roman" w:eastAsia="Times New Roman" w:hAnsi="Times New Roman" w:cs="Times New Roman"/>
          <w:lang w:eastAsia="fr-FR"/>
        </w:rPr>
        <w:t>Negative screening leads to more diversified portfolios and lower levels of tracking error, while positive screening leads to higher levels of improvement of ESG scores, at the cost of an increase in absolute and relative risk bud</w:t>
      </w:r>
      <w:r w:rsidR="00DE2176" w:rsidRPr="0041033C">
        <w:rPr>
          <w:rFonts w:ascii="Times New Roman" w:eastAsia="Times New Roman" w:hAnsi="Times New Roman" w:cs="Times New Roman"/>
          <w:lang w:eastAsia="fr-FR"/>
        </w:rPr>
        <w:t>gets</w:t>
      </w:r>
      <w:r w:rsidR="006621CE" w:rsidRPr="0041033C">
        <w:rPr>
          <w:rFonts w:ascii="Times New Roman" w:eastAsia="Times New Roman" w:hAnsi="Times New Roman" w:cs="Times New Roman"/>
          <w:lang w:eastAsia="fr-FR"/>
        </w:rPr>
        <w:t>.</w:t>
      </w:r>
    </w:p>
    <w:p w14:paraId="24A46704" w14:textId="77777777" w:rsidR="00AB5861" w:rsidRPr="0041033C" w:rsidRDefault="00AB5861" w:rsidP="0005566E">
      <w:pPr>
        <w:pStyle w:val="Paragraphedeliste"/>
        <w:numPr>
          <w:ilvl w:val="0"/>
          <w:numId w:val="24"/>
        </w:numPr>
        <w:spacing w:after="0"/>
        <w:rPr>
          <w:rFonts w:ascii="Times New Roman" w:eastAsia="Times New Roman" w:hAnsi="Times New Roman" w:cs="Times New Roman"/>
          <w:lang w:eastAsia="fr-FR"/>
        </w:rPr>
      </w:pPr>
      <w:r w:rsidRPr="0041033C">
        <w:rPr>
          <w:rFonts w:ascii="Times New Roman" w:eastAsia="Times New Roman" w:hAnsi="Times New Roman" w:cs="Times New Roman"/>
          <w:lang w:eastAsia="fr-FR"/>
        </w:rPr>
        <w:t>A dedicated focus on absolute or relative risk reduction at the selection stage allows investor</w:t>
      </w:r>
      <w:r w:rsidR="00DE2176" w:rsidRPr="0041033C">
        <w:rPr>
          <w:rFonts w:ascii="Times New Roman" w:eastAsia="Times New Roman" w:hAnsi="Times New Roman" w:cs="Times New Roman"/>
          <w:lang w:eastAsia="fr-FR"/>
        </w:rPr>
        <w:t>s</w:t>
      </w:r>
      <w:r w:rsidRPr="0041033C">
        <w:rPr>
          <w:rFonts w:ascii="Times New Roman" w:eastAsia="Times New Roman" w:hAnsi="Times New Roman" w:cs="Times New Roman"/>
          <w:lang w:eastAsia="fr-FR"/>
        </w:rPr>
        <w:t xml:space="preserve"> to reduce the opportunity costs along the dimension that is most important to them.</w:t>
      </w:r>
    </w:p>
    <w:p w14:paraId="5210C9E9" w14:textId="38CAF580" w:rsidR="00AB5861" w:rsidRPr="0041033C" w:rsidRDefault="00AB5861" w:rsidP="0005566E">
      <w:pPr>
        <w:pStyle w:val="Paragraphedeliste"/>
        <w:numPr>
          <w:ilvl w:val="0"/>
          <w:numId w:val="24"/>
        </w:numPr>
        <w:spacing w:after="0"/>
        <w:rPr>
          <w:rFonts w:ascii="Times New Roman" w:eastAsia="Times New Roman" w:hAnsi="Times New Roman" w:cs="Times New Roman"/>
          <w:lang w:eastAsia="fr-FR"/>
        </w:rPr>
      </w:pPr>
      <w:r w:rsidRPr="0041033C">
        <w:rPr>
          <w:rFonts w:ascii="Times New Roman" w:eastAsia="Times New Roman" w:hAnsi="Times New Roman" w:cs="Times New Roman"/>
          <w:lang w:eastAsia="fr-FR"/>
        </w:rPr>
        <w:t>ESG momentum strategies in sovereign bond markets can be used to further reduce some of the aforementioned opportunity costs.</w:t>
      </w:r>
    </w:p>
    <w:p w14:paraId="691ED818" w14:textId="77777777" w:rsidR="00AB5861" w:rsidRPr="0041033C" w:rsidRDefault="00AB5861" w:rsidP="00FD720D">
      <w:pPr>
        <w:spacing w:line="280" w:lineRule="atLeast"/>
        <w:jc w:val="both"/>
        <w:rPr>
          <w:sz w:val="22"/>
          <w:szCs w:val="22"/>
        </w:rPr>
      </w:pPr>
    </w:p>
    <w:p w14:paraId="5F54F280" w14:textId="7C5466DC" w:rsidR="00AB5861" w:rsidRPr="0041033C" w:rsidRDefault="00674930" w:rsidP="00FD720D">
      <w:pPr>
        <w:spacing w:line="280" w:lineRule="atLeast"/>
        <w:jc w:val="both"/>
        <w:rPr>
          <w:b/>
          <w:sz w:val="22"/>
          <w:szCs w:val="22"/>
        </w:rPr>
      </w:pPr>
      <w:r>
        <w:rPr>
          <w:b/>
          <w:sz w:val="22"/>
          <w:szCs w:val="22"/>
        </w:rPr>
        <w:t>The r</w:t>
      </w:r>
      <w:r w:rsidR="00AB5861" w:rsidRPr="0041033C">
        <w:rPr>
          <w:b/>
          <w:sz w:val="22"/>
          <w:szCs w:val="22"/>
        </w:rPr>
        <w:t>esults suggest that sound risk management practices are critically important in allowing investors to incorporate ESG constraints in</w:t>
      </w:r>
      <w:r>
        <w:rPr>
          <w:b/>
          <w:sz w:val="22"/>
          <w:szCs w:val="22"/>
        </w:rPr>
        <w:t>to</w:t>
      </w:r>
      <w:r w:rsidR="00AB5861" w:rsidRPr="0041033C">
        <w:rPr>
          <w:b/>
          <w:sz w:val="22"/>
          <w:szCs w:val="22"/>
        </w:rPr>
        <w:t xml:space="preserve"> investment decisions at an acceptable cost in terms of dollar or risk budgets</w:t>
      </w:r>
      <w:r w:rsidR="003D6235" w:rsidRPr="0041033C">
        <w:rPr>
          <w:b/>
          <w:sz w:val="22"/>
          <w:szCs w:val="22"/>
        </w:rPr>
        <w:t>.</w:t>
      </w:r>
    </w:p>
    <w:p w14:paraId="338156D1" w14:textId="1BE9878D" w:rsidR="00BE7BE4" w:rsidRPr="0041033C" w:rsidRDefault="00BE7BE4" w:rsidP="00FD720D">
      <w:pPr>
        <w:spacing w:line="280" w:lineRule="atLeast"/>
        <w:jc w:val="both"/>
        <w:rPr>
          <w:b/>
          <w:sz w:val="22"/>
          <w:szCs w:val="22"/>
        </w:rPr>
      </w:pPr>
    </w:p>
    <w:p w14:paraId="6901E89D" w14:textId="77777777" w:rsidR="00C27906" w:rsidRPr="0041033C" w:rsidRDefault="00C27906" w:rsidP="00BE7BE4">
      <w:pPr>
        <w:rPr>
          <w:sz w:val="22"/>
          <w:szCs w:val="22"/>
        </w:rPr>
      </w:pPr>
    </w:p>
    <w:p w14:paraId="1DC52B58" w14:textId="0D6748CE" w:rsidR="00C27906" w:rsidRPr="0041033C" w:rsidRDefault="007B0823" w:rsidP="00FD720D">
      <w:pPr>
        <w:spacing w:line="280" w:lineRule="atLeast"/>
        <w:jc w:val="both"/>
        <w:rPr>
          <w:b/>
          <w:sz w:val="22"/>
          <w:szCs w:val="22"/>
        </w:rPr>
      </w:pPr>
      <w:r w:rsidRPr="0041033C">
        <w:rPr>
          <w:sz w:val="22"/>
          <w:szCs w:val="22"/>
          <w:lang w:eastAsia="de-DE"/>
        </w:rPr>
        <w:t>Specifically this research confirms</w:t>
      </w:r>
      <w:r w:rsidR="00C27906" w:rsidRPr="0041033C">
        <w:rPr>
          <w:sz w:val="22"/>
          <w:szCs w:val="22"/>
          <w:lang w:eastAsia="de-DE"/>
        </w:rPr>
        <w:t xml:space="preserve"> that improvement of the ESG attributes of sovereign bond portfolios comes at a measured cost in terms of active risk, and that ESG momentum strategies can reduce opportunity costs</w:t>
      </w:r>
      <w:r w:rsidRPr="0041033C">
        <w:rPr>
          <w:sz w:val="22"/>
          <w:szCs w:val="22"/>
          <w:lang w:eastAsia="de-DE"/>
        </w:rPr>
        <w:t>.</w:t>
      </w:r>
      <w:r w:rsidR="00C27906" w:rsidRPr="0041033C">
        <w:rPr>
          <w:sz w:val="22"/>
          <w:szCs w:val="22"/>
          <w:lang w:eastAsia="de-DE"/>
        </w:rPr>
        <w:t xml:space="preserve"> </w:t>
      </w:r>
      <w:r w:rsidRPr="0041033C">
        <w:rPr>
          <w:sz w:val="22"/>
          <w:szCs w:val="22"/>
          <w:lang w:eastAsia="de-DE"/>
        </w:rPr>
        <w:t xml:space="preserve">Ultimately this validates ESG as a significant risk management tool </w:t>
      </w:r>
      <w:r w:rsidR="00C27906" w:rsidRPr="0041033C">
        <w:rPr>
          <w:sz w:val="22"/>
          <w:szCs w:val="22"/>
          <w:lang w:eastAsia="de-DE"/>
        </w:rPr>
        <w:t>in sovereign bond analysis</w:t>
      </w:r>
      <w:r w:rsidRPr="0041033C">
        <w:rPr>
          <w:sz w:val="22"/>
          <w:szCs w:val="22"/>
          <w:lang w:eastAsia="de-DE"/>
        </w:rPr>
        <w:t>.</w:t>
      </w:r>
    </w:p>
    <w:p w14:paraId="58E7F3E9" w14:textId="77777777" w:rsidR="00AB5861" w:rsidRPr="0041033C" w:rsidRDefault="00AB5861" w:rsidP="00FD720D">
      <w:pPr>
        <w:spacing w:line="280" w:lineRule="atLeast"/>
        <w:jc w:val="both"/>
        <w:rPr>
          <w:sz w:val="22"/>
          <w:szCs w:val="22"/>
        </w:rPr>
      </w:pPr>
    </w:p>
    <w:p w14:paraId="5585228F" w14:textId="239B8971" w:rsidR="00435380" w:rsidRPr="0041033C" w:rsidRDefault="00435380" w:rsidP="00435380">
      <w:pPr>
        <w:jc w:val="both"/>
        <w:rPr>
          <w:sz w:val="22"/>
          <w:szCs w:val="22"/>
          <w:lang w:val="en-US"/>
        </w:rPr>
      </w:pPr>
      <w:r w:rsidRPr="0041033C">
        <w:rPr>
          <w:snapToGrid w:val="0"/>
          <w:color w:val="000000"/>
          <w:sz w:val="22"/>
          <w:szCs w:val="22"/>
        </w:rPr>
        <w:t xml:space="preserve">Commenting on this research, </w:t>
      </w:r>
      <w:r w:rsidR="006B56F0" w:rsidRPr="0041033C">
        <w:rPr>
          <w:snapToGrid w:val="0"/>
          <w:color w:val="000000"/>
          <w:sz w:val="22"/>
          <w:szCs w:val="22"/>
        </w:rPr>
        <w:t xml:space="preserve">Lionel Martellini, </w:t>
      </w:r>
      <w:r w:rsidRPr="0041033C">
        <w:rPr>
          <w:snapToGrid w:val="0"/>
          <w:color w:val="000000"/>
          <w:sz w:val="22"/>
          <w:szCs w:val="22"/>
        </w:rPr>
        <w:t xml:space="preserve">Professor of Finance at </w:t>
      </w:r>
      <w:r w:rsidR="006B56F0" w:rsidRPr="0041033C">
        <w:rPr>
          <w:snapToGrid w:val="0"/>
          <w:color w:val="000000"/>
          <w:sz w:val="22"/>
          <w:szCs w:val="22"/>
        </w:rPr>
        <w:t xml:space="preserve">EDHEC Business School and Director of </w:t>
      </w:r>
      <w:r w:rsidRPr="0041033C">
        <w:rPr>
          <w:snapToGrid w:val="0"/>
          <w:color w:val="000000"/>
          <w:sz w:val="22"/>
          <w:szCs w:val="22"/>
        </w:rPr>
        <w:t>EDHEC-Risk Institute, said “</w:t>
      </w:r>
      <w:r w:rsidR="006B56F0" w:rsidRPr="0041033C">
        <w:rPr>
          <w:snapToGrid w:val="0"/>
          <w:color w:val="000000"/>
          <w:sz w:val="22"/>
          <w:szCs w:val="22"/>
        </w:rPr>
        <w:t xml:space="preserve">This paper </w:t>
      </w:r>
      <w:r w:rsidR="00674930">
        <w:rPr>
          <w:snapToGrid w:val="0"/>
          <w:color w:val="000000"/>
          <w:sz w:val="22"/>
          <w:szCs w:val="22"/>
        </w:rPr>
        <w:t xml:space="preserve">contributes </w:t>
      </w:r>
      <w:r w:rsidR="006B56F0" w:rsidRPr="0041033C">
        <w:rPr>
          <w:snapToGrid w:val="0"/>
          <w:color w:val="000000"/>
          <w:sz w:val="22"/>
          <w:szCs w:val="22"/>
        </w:rPr>
        <w:t>to the ESG-investing literature</w:t>
      </w:r>
      <w:r w:rsidR="00674930">
        <w:rPr>
          <w:snapToGrid w:val="0"/>
          <w:color w:val="000000"/>
          <w:sz w:val="22"/>
          <w:szCs w:val="22"/>
        </w:rPr>
        <w:t xml:space="preserve"> on </w:t>
      </w:r>
      <w:r w:rsidR="006B56F0" w:rsidRPr="0041033C">
        <w:rPr>
          <w:snapToGrid w:val="0"/>
          <w:color w:val="000000"/>
          <w:sz w:val="22"/>
          <w:szCs w:val="22"/>
        </w:rPr>
        <w:t xml:space="preserve">the importance of ESG considerations across asset classes by exploring the impact of ESG factors on </w:t>
      </w:r>
      <w:r w:rsidR="00674930">
        <w:rPr>
          <w:snapToGrid w:val="0"/>
          <w:color w:val="000000"/>
          <w:sz w:val="22"/>
          <w:szCs w:val="22"/>
        </w:rPr>
        <w:t xml:space="preserve">the </w:t>
      </w:r>
      <w:r w:rsidR="006B56F0" w:rsidRPr="0041033C">
        <w:rPr>
          <w:snapToGrid w:val="0"/>
          <w:color w:val="000000"/>
          <w:sz w:val="22"/>
          <w:szCs w:val="22"/>
        </w:rPr>
        <w:t>risk and return of sovereign bonds from an investor perspective and</w:t>
      </w:r>
      <w:r w:rsidR="00674930">
        <w:rPr>
          <w:snapToGrid w:val="0"/>
          <w:color w:val="000000"/>
          <w:sz w:val="22"/>
          <w:szCs w:val="22"/>
        </w:rPr>
        <w:t>,</w:t>
      </w:r>
      <w:r w:rsidR="006B56F0" w:rsidRPr="0041033C">
        <w:rPr>
          <w:snapToGrid w:val="0"/>
          <w:color w:val="000000"/>
          <w:sz w:val="22"/>
          <w:szCs w:val="22"/>
        </w:rPr>
        <w:t xml:space="preserve"> in particular, investigating how to measure and manage EGS risks in sovereign bond portfolios and their implications for sovereign bond portfolio strategies.</w:t>
      </w:r>
      <w:r w:rsidRPr="0041033C">
        <w:rPr>
          <w:snapToGrid w:val="0"/>
          <w:color w:val="000000"/>
          <w:sz w:val="22"/>
          <w:szCs w:val="22"/>
        </w:rPr>
        <w:t>”</w:t>
      </w:r>
      <w:r w:rsidRPr="0041033C">
        <w:rPr>
          <w:rFonts w:ascii="Calibri" w:hAnsi="Calibri" w:cs="Calibri"/>
          <w:color w:val="1F497D"/>
          <w:sz w:val="22"/>
          <w:szCs w:val="22"/>
          <w:lang w:eastAsia="en-US"/>
        </w:rPr>
        <w:t xml:space="preserve"> </w:t>
      </w:r>
    </w:p>
    <w:p w14:paraId="6F8BBDE2" w14:textId="77777777" w:rsidR="00E92E6B" w:rsidRPr="0041033C" w:rsidRDefault="00E92E6B" w:rsidP="00E92E6B">
      <w:pPr>
        <w:spacing w:line="280" w:lineRule="atLeast"/>
        <w:jc w:val="both"/>
        <w:rPr>
          <w:snapToGrid w:val="0"/>
          <w:color w:val="000000"/>
          <w:sz w:val="22"/>
          <w:szCs w:val="22"/>
        </w:rPr>
      </w:pPr>
    </w:p>
    <w:p w14:paraId="42C1CA13" w14:textId="1A9964AF" w:rsidR="00FD088A" w:rsidRPr="0041033C" w:rsidRDefault="006B56F0" w:rsidP="00FD088A">
      <w:pPr>
        <w:rPr>
          <w:sz w:val="22"/>
          <w:szCs w:val="22"/>
          <w:lang w:eastAsia="de-DE"/>
        </w:rPr>
      </w:pPr>
      <w:r w:rsidRPr="0041033C">
        <w:rPr>
          <w:sz w:val="22"/>
          <w:szCs w:val="22"/>
          <w:lang w:eastAsia="de-DE"/>
        </w:rPr>
        <w:t xml:space="preserve">Commenting on the results of the survey, </w:t>
      </w:r>
      <w:r w:rsidR="009D4A8C" w:rsidRPr="0041033C">
        <w:rPr>
          <w:sz w:val="22"/>
          <w:szCs w:val="22"/>
          <w:lang w:eastAsia="de-DE"/>
        </w:rPr>
        <w:t xml:space="preserve">Laurent Trottier, </w:t>
      </w:r>
      <w:r w:rsidR="00AD4E1D" w:rsidRPr="0041033C">
        <w:rPr>
          <w:sz w:val="22"/>
          <w:szCs w:val="22"/>
          <w:lang w:eastAsia="de-DE"/>
        </w:rPr>
        <w:t>Global H</w:t>
      </w:r>
      <w:r w:rsidR="009D4A8C" w:rsidRPr="0041033C">
        <w:rPr>
          <w:sz w:val="22"/>
          <w:szCs w:val="22"/>
          <w:lang w:eastAsia="de-DE"/>
        </w:rPr>
        <w:t>ead o</w:t>
      </w:r>
      <w:r w:rsidR="008D20D1" w:rsidRPr="0041033C">
        <w:rPr>
          <w:sz w:val="22"/>
          <w:szCs w:val="22"/>
          <w:lang w:eastAsia="de-DE"/>
        </w:rPr>
        <w:t xml:space="preserve">f ETF, Indexing and Smart Beta </w:t>
      </w:r>
      <w:r w:rsidR="00AD4E1D" w:rsidRPr="0041033C">
        <w:rPr>
          <w:sz w:val="22"/>
          <w:szCs w:val="22"/>
          <w:lang w:eastAsia="de-DE"/>
        </w:rPr>
        <w:t>M</w:t>
      </w:r>
      <w:r w:rsidR="009D4A8C" w:rsidRPr="0041033C">
        <w:rPr>
          <w:sz w:val="22"/>
          <w:szCs w:val="22"/>
          <w:lang w:eastAsia="de-DE"/>
        </w:rPr>
        <w:t>anagement at Amundi</w:t>
      </w:r>
      <w:r w:rsidRPr="0041033C">
        <w:rPr>
          <w:sz w:val="22"/>
          <w:szCs w:val="22"/>
          <w:lang w:eastAsia="de-DE"/>
        </w:rPr>
        <w:t>, said</w:t>
      </w:r>
      <w:r w:rsidR="00D95B61" w:rsidRPr="0041033C">
        <w:rPr>
          <w:sz w:val="22"/>
          <w:szCs w:val="22"/>
          <w:lang w:eastAsia="de-DE"/>
        </w:rPr>
        <w:t xml:space="preserve"> </w:t>
      </w:r>
      <w:r w:rsidR="00FD088A" w:rsidRPr="0041033C">
        <w:rPr>
          <w:sz w:val="22"/>
          <w:szCs w:val="22"/>
          <w:lang w:eastAsia="de-DE"/>
        </w:rPr>
        <w:t>“Supporting EDHEC</w:t>
      </w:r>
      <w:r w:rsidR="0041033C" w:rsidRPr="0041033C">
        <w:rPr>
          <w:sz w:val="22"/>
          <w:szCs w:val="22"/>
          <w:lang w:eastAsia="de-DE"/>
        </w:rPr>
        <w:t>-Risk</w:t>
      </w:r>
      <w:r w:rsidR="00FD088A" w:rsidRPr="0041033C">
        <w:rPr>
          <w:sz w:val="22"/>
          <w:szCs w:val="22"/>
          <w:lang w:eastAsia="de-DE"/>
        </w:rPr>
        <w:t xml:space="preserve"> </w:t>
      </w:r>
      <w:r w:rsidR="00C27906" w:rsidRPr="0041033C">
        <w:rPr>
          <w:sz w:val="22"/>
          <w:szCs w:val="22"/>
          <w:lang w:eastAsia="de-DE"/>
        </w:rPr>
        <w:t>on</w:t>
      </w:r>
      <w:r w:rsidR="009D4A8C" w:rsidRPr="0041033C">
        <w:rPr>
          <w:sz w:val="22"/>
          <w:szCs w:val="22"/>
          <w:lang w:eastAsia="de-DE"/>
        </w:rPr>
        <w:t xml:space="preserve"> this research</w:t>
      </w:r>
      <w:r w:rsidR="00FD088A" w:rsidRPr="0041033C">
        <w:rPr>
          <w:sz w:val="22"/>
          <w:szCs w:val="22"/>
          <w:lang w:eastAsia="de-DE"/>
        </w:rPr>
        <w:t xml:space="preserve"> </w:t>
      </w:r>
      <w:r w:rsidR="009D4A8C" w:rsidRPr="0041033C">
        <w:rPr>
          <w:sz w:val="22"/>
          <w:szCs w:val="22"/>
          <w:lang w:eastAsia="de-DE"/>
        </w:rPr>
        <w:t>harnesses</w:t>
      </w:r>
      <w:r w:rsidR="00FD088A" w:rsidRPr="0041033C">
        <w:rPr>
          <w:sz w:val="22"/>
          <w:szCs w:val="22"/>
          <w:lang w:eastAsia="de-DE"/>
        </w:rPr>
        <w:t xml:space="preserve"> Amundi’s expertise in</w:t>
      </w:r>
      <w:r w:rsidR="00C27906" w:rsidRPr="0041033C">
        <w:rPr>
          <w:sz w:val="22"/>
          <w:szCs w:val="22"/>
          <w:lang w:eastAsia="de-DE"/>
        </w:rPr>
        <w:t xml:space="preserve"> </w:t>
      </w:r>
      <w:r w:rsidR="00AD4E1D" w:rsidRPr="0041033C">
        <w:rPr>
          <w:sz w:val="22"/>
          <w:szCs w:val="22"/>
          <w:lang w:eastAsia="de-DE"/>
        </w:rPr>
        <w:t>fixed income indices</w:t>
      </w:r>
      <w:r w:rsidR="00C27906" w:rsidRPr="0041033C">
        <w:rPr>
          <w:sz w:val="22"/>
          <w:szCs w:val="22"/>
          <w:lang w:eastAsia="de-DE"/>
        </w:rPr>
        <w:t xml:space="preserve"> and</w:t>
      </w:r>
      <w:r w:rsidR="002A7AF2" w:rsidRPr="0041033C">
        <w:rPr>
          <w:sz w:val="22"/>
          <w:szCs w:val="22"/>
          <w:lang w:eastAsia="de-DE"/>
        </w:rPr>
        <w:t xml:space="preserve"> </w:t>
      </w:r>
      <w:r w:rsidR="00AD4E1D" w:rsidRPr="0041033C">
        <w:rPr>
          <w:sz w:val="22"/>
          <w:szCs w:val="22"/>
          <w:lang w:eastAsia="de-DE"/>
        </w:rPr>
        <w:t>leadership in sustaina</w:t>
      </w:r>
      <w:r w:rsidR="00FD088A" w:rsidRPr="0041033C">
        <w:rPr>
          <w:sz w:val="22"/>
          <w:szCs w:val="22"/>
          <w:lang w:eastAsia="de-DE"/>
        </w:rPr>
        <w:t xml:space="preserve">ble investing. </w:t>
      </w:r>
      <w:r w:rsidR="008D20D1" w:rsidRPr="0041033C">
        <w:rPr>
          <w:sz w:val="22"/>
          <w:szCs w:val="22"/>
          <w:lang w:eastAsia="de-DE"/>
        </w:rPr>
        <w:t>As</w:t>
      </w:r>
      <w:r w:rsidR="00C27906" w:rsidRPr="0041033C">
        <w:rPr>
          <w:sz w:val="22"/>
          <w:szCs w:val="22"/>
          <w:lang w:eastAsia="de-DE"/>
        </w:rPr>
        <w:t xml:space="preserve"> passive</w:t>
      </w:r>
      <w:r w:rsidR="008D20D1" w:rsidRPr="0041033C">
        <w:rPr>
          <w:sz w:val="22"/>
          <w:szCs w:val="22"/>
          <w:lang w:eastAsia="de-DE"/>
        </w:rPr>
        <w:t xml:space="preserve"> investors increasingly seek to incorporate ESG in</w:t>
      </w:r>
      <w:r w:rsidR="008A5E02" w:rsidRPr="0041033C">
        <w:rPr>
          <w:sz w:val="22"/>
          <w:szCs w:val="22"/>
          <w:lang w:eastAsia="de-DE"/>
        </w:rPr>
        <w:t>to</w:t>
      </w:r>
      <w:r w:rsidR="008D20D1" w:rsidRPr="0041033C">
        <w:rPr>
          <w:sz w:val="22"/>
          <w:szCs w:val="22"/>
          <w:lang w:eastAsia="de-DE"/>
        </w:rPr>
        <w:t xml:space="preserve"> their fixed income allocations, this research </w:t>
      </w:r>
      <w:r w:rsidR="00C27906" w:rsidRPr="0041033C">
        <w:rPr>
          <w:sz w:val="22"/>
          <w:szCs w:val="22"/>
          <w:lang w:eastAsia="de-DE"/>
        </w:rPr>
        <w:t>identifies</w:t>
      </w:r>
      <w:r w:rsidR="00FD088A" w:rsidRPr="0041033C">
        <w:rPr>
          <w:sz w:val="22"/>
          <w:szCs w:val="22"/>
          <w:lang w:eastAsia="de-DE"/>
        </w:rPr>
        <w:t xml:space="preserve"> important practical implications</w:t>
      </w:r>
      <w:r w:rsidR="008A5E02" w:rsidRPr="0041033C">
        <w:rPr>
          <w:sz w:val="22"/>
          <w:szCs w:val="22"/>
          <w:lang w:eastAsia="de-DE"/>
        </w:rPr>
        <w:t xml:space="preserve"> which address</w:t>
      </w:r>
      <w:r w:rsidR="00FD088A" w:rsidRPr="0041033C">
        <w:rPr>
          <w:sz w:val="22"/>
          <w:szCs w:val="22"/>
          <w:lang w:eastAsia="de-DE"/>
        </w:rPr>
        <w:t xml:space="preserve"> sovereign b</w:t>
      </w:r>
      <w:r w:rsidR="008A5E02" w:rsidRPr="0041033C">
        <w:rPr>
          <w:sz w:val="22"/>
          <w:szCs w:val="22"/>
          <w:lang w:eastAsia="de-DE"/>
        </w:rPr>
        <w:t>ond investors’</w:t>
      </w:r>
      <w:r w:rsidR="00AD4E1D" w:rsidRPr="0041033C">
        <w:rPr>
          <w:sz w:val="22"/>
          <w:szCs w:val="22"/>
          <w:lang w:eastAsia="de-DE"/>
        </w:rPr>
        <w:t xml:space="preserve"> </w:t>
      </w:r>
      <w:r w:rsidR="00FD088A" w:rsidRPr="0041033C">
        <w:rPr>
          <w:sz w:val="22"/>
          <w:szCs w:val="22"/>
          <w:lang w:eastAsia="de-DE"/>
        </w:rPr>
        <w:t xml:space="preserve">need for a more systematic approach to determining their exposure and the potential investment risk of ESG factors. </w:t>
      </w:r>
    </w:p>
    <w:p w14:paraId="76B5B268" w14:textId="77777777" w:rsidR="00FD088A" w:rsidRPr="0041033C" w:rsidRDefault="00FD088A" w:rsidP="00FD088A">
      <w:pPr>
        <w:rPr>
          <w:sz w:val="22"/>
          <w:szCs w:val="22"/>
          <w:lang w:eastAsia="de-DE"/>
        </w:rPr>
      </w:pPr>
    </w:p>
    <w:p w14:paraId="31C3D38D" w14:textId="77777777" w:rsidR="00CB6C8F" w:rsidRPr="0041033C" w:rsidRDefault="00CB6C8F" w:rsidP="006B56F0">
      <w:pPr>
        <w:jc w:val="both"/>
        <w:rPr>
          <w:i/>
          <w:iCs/>
          <w:color w:val="000000"/>
          <w:sz w:val="22"/>
          <w:szCs w:val="22"/>
          <w:shd w:val="clear" w:color="auto" w:fill="FFFFFF"/>
        </w:rPr>
      </w:pPr>
    </w:p>
    <w:p w14:paraId="0F1D4203" w14:textId="5F114B3A" w:rsidR="004636C5" w:rsidRPr="0041033C" w:rsidRDefault="004636C5" w:rsidP="004636C5">
      <w:pPr>
        <w:spacing w:line="280" w:lineRule="atLeast"/>
        <w:jc w:val="both"/>
        <w:rPr>
          <w:snapToGrid w:val="0"/>
          <w:color w:val="000000"/>
          <w:sz w:val="22"/>
          <w:szCs w:val="22"/>
        </w:rPr>
      </w:pPr>
      <w:r w:rsidRPr="0041033C">
        <w:rPr>
          <w:snapToGrid w:val="0"/>
          <w:color w:val="000000"/>
          <w:sz w:val="22"/>
          <w:szCs w:val="22"/>
        </w:rPr>
        <w:t xml:space="preserve">You can access an exclusive 2-page summary of the publication outlining the authors’ main insights here: </w:t>
      </w:r>
      <w:hyperlink r:id="rId12" w:history="1">
        <w:r w:rsidRPr="0041033C">
          <w:rPr>
            <w:rStyle w:val="Lienhypertexte"/>
            <w:snapToGrid w:val="0"/>
            <w:sz w:val="22"/>
            <w:szCs w:val="22"/>
          </w:rPr>
          <w:t>https://risk.edhec.edu/measuring-and-managing-esg-risks-sovereign-bond</w:t>
        </w:r>
      </w:hyperlink>
      <w:r w:rsidRPr="0041033C">
        <w:rPr>
          <w:snapToGrid w:val="0"/>
          <w:color w:val="000000"/>
          <w:sz w:val="22"/>
          <w:szCs w:val="22"/>
        </w:rPr>
        <w:t xml:space="preserve"> </w:t>
      </w:r>
    </w:p>
    <w:p w14:paraId="358CBC50" w14:textId="2C2315BF" w:rsidR="004636C5" w:rsidRPr="0041033C" w:rsidRDefault="004636C5" w:rsidP="00B66FCF">
      <w:pPr>
        <w:spacing w:line="280" w:lineRule="atLeast"/>
        <w:jc w:val="both"/>
        <w:rPr>
          <w:snapToGrid w:val="0"/>
          <w:color w:val="000000"/>
          <w:sz w:val="22"/>
          <w:szCs w:val="22"/>
        </w:rPr>
      </w:pPr>
    </w:p>
    <w:p w14:paraId="40979074" w14:textId="357FCB42" w:rsidR="0042230C" w:rsidRPr="0041033C" w:rsidRDefault="0042230C" w:rsidP="00B66FCF">
      <w:pPr>
        <w:spacing w:line="280" w:lineRule="atLeast"/>
        <w:jc w:val="both"/>
        <w:rPr>
          <w:snapToGrid w:val="0"/>
          <w:color w:val="000000"/>
          <w:sz w:val="22"/>
          <w:szCs w:val="22"/>
        </w:rPr>
      </w:pPr>
      <w:r w:rsidRPr="0041033C">
        <w:rPr>
          <w:snapToGrid w:val="0"/>
          <w:color w:val="000000"/>
          <w:sz w:val="22"/>
          <w:szCs w:val="22"/>
        </w:rPr>
        <w:t xml:space="preserve">You </w:t>
      </w:r>
      <w:r w:rsidR="00CB6C8F" w:rsidRPr="0041033C">
        <w:rPr>
          <w:snapToGrid w:val="0"/>
          <w:color w:val="000000"/>
          <w:sz w:val="22"/>
          <w:szCs w:val="22"/>
        </w:rPr>
        <w:t xml:space="preserve">can access the </w:t>
      </w:r>
      <w:r w:rsidR="004636C5" w:rsidRPr="0041033C">
        <w:rPr>
          <w:snapToGrid w:val="0"/>
          <w:color w:val="000000"/>
          <w:sz w:val="22"/>
          <w:szCs w:val="22"/>
        </w:rPr>
        <w:t xml:space="preserve">full </w:t>
      </w:r>
      <w:r w:rsidR="00CB6C8F" w:rsidRPr="0041033C">
        <w:rPr>
          <w:snapToGrid w:val="0"/>
          <w:color w:val="000000"/>
          <w:sz w:val="22"/>
          <w:szCs w:val="22"/>
        </w:rPr>
        <w:t>publication</w:t>
      </w:r>
      <w:r w:rsidRPr="0041033C">
        <w:rPr>
          <w:snapToGrid w:val="0"/>
          <w:color w:val="000000"/>
          <w:sz w:val="22"/>
          <w:szCs w:val="22"/>
        </w:rPr>
        <w:t xml:space="preserve"> </w:t>
      </w:r>
      <w:r w:rsidR="00674930">
        <w:rPr>
          <w:snapToGrid w:val="0"/>
          <w:color w:val="000000"/>
          <w:sz w:val="22"/>
          <w:szCs w:val="22"/>
        </w:rPr>
        <w:t xml:space="preserve">here: </w:t>
      </w:r>
      <w:r w:rsidRPr="0041033C">
        <w:rPr>
          <w:snapToGrid w:val="0"/>
          <w:color w:val="000000"/>
          <w:sz w:val="22"/>
          <w:szCs w:val="22"/>
        </w:rPr>
        <w:t>“</w:t>
      </w:r>
      <w:hyperlink r:id="rId13" w:history="1">
        <w:r w:rsidR="00CB6C8F" w:rsidRPr="0041033C">
          <w:rPr>
            <w:rStyle w:val="Lienhypertexte"/>
            <w:sz w:val="22"/>
            <w:szCs w:val="22"/>
          </w:rPr>
          <w:t>Measuring and Managing ESG Risks in Sovereign Bond Portfolios and Implications for Sovereign Debt Investing</w:t>
        </w:r>
      </w:hyperlink>
      <w:r w:rsidRPr="0041033C">
        <w:rPr>
          <w:snapToGrid w:val="0"/>
          <w:color w:val="000000"/>
          <w:sz w:val="22"/>
          <w:szCs w:val="22"/>
        </w:rPr>
        <w:t>”</w:t>
      </w:r>
      <w:r w:rsidR="006B56F0" w:rsidRPr="0041033C">
        <w:rPr>
          <w:snapToGrid w:val="0"/>
          <w:color w:val="000000"/>
          <w:sz w:val="22"/>
          <w:szCs w:val="22"/>
        </w:rPr>
        <w:t>.</w:t>
      </w:r>
    </w:p>
    <w:p w14:paraId="118D8FE1" w14:textId="77777777" w:rsidR="0042230C" w:rsidRPr="0041033C" w:rsidRDefault="0042230C" w:rsidP="00B66FCF">
      <w:pPr>
        <w:spacing w:line="280" w:lineRule="atLeast"/>
        <w:jc w:val="both"/>
        <w:rPr>
          <w:snapToGrid w:val="0"/>
          <w:color w:val="000000"/>
          <w:sz w:val="22"/>
          <w:szCs w:val="22"/>
        </w:rPr>
      </w:pPr>
    </w:p>
    <w:p w14:paraId="7ED56721" w14:textId="77777777" w:rsidR="00F923D7" w:rsidRPr="0041033C" w:rsidRDefault="00F923D7" w:rsidP="00B66FCF">
      <w:pPr>
        <w:spacing w:line="280" w:lineRule="atLeast"/>
        <w:jc w:val="both"/>
        <w:rPr>
          <w:snapToGrid w:val="0"/>
          <w:color w:val="000000"/>
          <w:sz w:val="22"/>
          <w:szCs w:val="22"/>
        </w:rPr>
      </w:pPr>
    </w:p>
    <w:p w14:paraId="5BE24643" w14:textId="77777777" w:rsidR="00CB6C8F" w:rsidRPr="0041033C" w:rsidRDefault="00CB6C8F" w:rsidP="00CB6C8F">
      <w:pPr>
        <w:autoSpaceDE w:val="0"/>
        <w:autoSpaceDN w:val="0"/>
        <w:adjustRightInd w:val="0"/>
        <w:spacing w:line="280" w:lineRule="atLeast"/>
        <w:jc w:val="both"/>
        <w:rPr>
          <w:b/>
          <w:sz w:val="22"/>
          <w:szCs w:val="22"/>
        </w:rPr>
      </w:pPr>
      <w:r w:rsidRPr="0041033C">
        <w:rPr>
          <w:b/>
          <w:sz w:val="22"/>
          <w:szCs w:val="22"/>
        </w:rPr>
        <w:t xml:space="preserve">This research was supported by Amundi as part of EDHEC-Risk Institute’s “ETF, Indexing and Smart Beta Investment Strategies” research chair. </w:t>
      </w:r>
    </w:p>
    <w:p w14:paraId="12AE5A20" w14:textId="77777777" w:rsidR="003861EE" w:rsidRDefault="003861EE" w:rsidP="004B0EBA">
      <w:pPr>
        <w:jc w:val="both"/>
      </w:pPr>
    </w:p>
    <w:p w14:paraId="45C432AD" w14:textId="77777777" w:rsidR="00B73D40" w:rsidRPr="00F147F4" w:rsidRDefault="00B73D40" w:rsidP="00B73D40">
      <w:pPr>
        <w:autoSpaceDE w:val="0"/>
        <w:autoSpaceDN w:val="0"/>
        <w:adjustRightInd w:val="0"/>
        <w:jc w:val="both"/>
        <w:rPr>
          <w:snapToGrid w:val="0"/>
          <w:color w:val="000000"/>
          <w:sz w:val="22"/>
          <w:szCs w:val="22"/>
        </w:rPr>
      </w:pPr>
      <w:r>
        <w:rPr>
          <w:b/>
          <w:bCs/>
          <w:noProof/>
          <w:sz w:val="28"/>
          <w:szCs w:val="28"/>
          <w:lang w:val="fr-FR"/>
        </w:rPr>
        <mc:AlternateContent>
          <mc:Choice Requires="wpg">
            <w:drawing>
              <wp:anchor distT="0" distB="0" distL="114300" distR="114300" simplePos="0" relativeHeight="251658240" behindDoc="1" locked="0" layoutInCell="1" allowOverlap="1" wp14:anchorId="7AF9E205" wp14:editId="5F60D3F3">
                <wp:simplePos x="0" y="0"/>
                <wp:positionH relativeFrom="column">
                  <wp:posOffset>-76200</wp:posOffset>
                </wp:positionH>
                <wp:positionV relativeFrom="paragraph">
                  <wp:posOffset>172720</wp:posOffset>
                </wp:positionV>
                <wp:extent cx="5829300" cy="952500"/>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952500"/>
                          <a:chOff x="1418" y="1238"/>
                          <a:chExt cx="9180" cy="1620"/>
                        </a:xfrm>
                      </wpg:grpSpPr>
                      <wps:wsp>
                        <wps:cNvPr id="8" name="Rectangle 31"/>
                        <wps:cNvSpPr>
                          <a:spLocks noChangeArrowheads="1"/>
                        </wps:cNvSpPr>
                        <wps:spPr bwMode="auto">
                          <a:xfrm>
                            <a:off x="1418" y="1238"/>
                            <a:ext cx="9180" cy="162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32" descr="edhec logo press releas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95" y="1571"/>
                            <a:ext cx="1009" cy="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51B9B4" id="Groupe 7" o:spid="_x0000_s1026" style="position:absolute;margin-left:-6pt;margin-top:13.6pt;width:459pt;height:75pt;z-index:-251658240" coordorigin="1418,1238" coordsize="91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">
                <v:rect id="Rectangle 31" o:spid="_x0000_s1027" style="position:absolute;left:1418;top:1238;width:9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" fillcolor="#ddd" stroked="f" strokecolor="maroon" strokeweight="1pt">
                  <v:stroke dashstyle="dashD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alt="edhec logo press release 3" style="position:absolute;left:1595;top:1571;width:100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">
                  <v:imagedata r:id="rId15" o:title="edhec logo press release 3"/>
                </v:shape>
              </v:group>
            </w:pict>
          </mc:Fallback>
        </mc:AlternateContent>
      </w:r>
    </w:p>
    <w:p w14:paraId="12D8E168" w14:textId="77777777" w:rsidR="00B73D40" w:rsidRPr="00F147F4" w:rsidRDefault="00B73D40" w:rsidP="00B73D40">
      <w:pPr>
        <w:tabs>
          <w:tab w:val="left" w:pos="3240"/>
        </w:tabs>
        <w:spacing w:line="280" w:lineRule="atLeast"/>
        <w:ind w:left="1622"/>
        <w:jc w:val="both"/>
        <w:rPr>
          <w:b/>
          <w:bCs/>
          <w:color w:val="800000"/>
          <w:sz w:val="22"/>
          <w:szCs w:val="22"/>
        </w:rPr>
      </w:pPr>
      <w:r w:rsidRPr="00F147F4">
        <w:rPr>
          <w:b/>
          <w:bCs/>
          <w:color w:val="800000"/>
          <w:sz w:val="22"/>
          <w:szCs w:val="22"/>
        </w:rPr>
        <w:t>Contact:</w:t>
      </w:r>
    </w:p>
    <w:p w14:paraId="254BFBFE" w14:textId="77777777" w:rsidR="00B73D40" w:rsidRPr="00F147F4" w:rsidRDefault="00B73D40" w:rsidP="00B73D40">
      <w:pPr>
        <w:tabs>
          <w:tab w:val="left" w:pos="3240"/>
        </w:tabs>
        <w:spacing w:line="280" w:lineRule="atLeast"/>
        <w:ind w:left="1620"/>
        <w:jc w:val="both"/>
        <w:rPr>
          <w:b/>
          <w:bCs/>
          <w:sz w:val="22"/>
          <w:szCs w:val="22"/>
        </w:rPr>
      </w:pPr>
      <w:r w:rsidRPr="00F147F4">
        <w:rPr>
          <w:sz w:val="22"/>
          <w:szCs w:val="22"/>
        </w:rPr>
        <w:t xml:space="preserve">For more information, please contact: </w:t>
      </w:r>
      <w:r w:rsidRPr="00F147F4">
        <w:rPr>
          <w:b/>
          <w:bCs/>
          <w:sz w:val="22"/>
          <w:szCs w:val="22"/>
        </w:rPr>
        <w:t>Maud Gauchon</w:t>
      </w:r>
    </w:p>
    <w:p w14:paraId="6F0F155D" w14:textId="77777777" w:rsidR="00B73D40" w:rsidRPr="002C2403" w:rsidRDefault="00B73D40" w:rsidP="00B73D40">
      <w:pPr>
        <w:tabs>
          <w:tab w:val="left" w:pos="3240"/>
        </w:tabs>
        <w:spacing w:line="280" w:lineRule="atLeast"/>
        <w:ind w:left="1620"/>
        <w:jc w:val="both"/>
        <w:rPr>
          <w:sz w:val="22"/>
          <w:szCs w:val="22"/>
          <w:lang w:val="pt-BR"/>
        </w:rPr>
      </w:pPr>
      <w:r w:rsidRPr="002C2403">
        <w:rPr>
          <w:sz w:val="22"/>
          <w:szCs w:val="22"/>
          <w:lang w:val="pt-BR"/>
        </w:rPr>
        <w:t xml:space="preserve">Tel.: </w:t>
      </w:r>
      <w:r w:rsidRPr="002C2403">
        <w:rPr>
          <w:b/>
          <w:bCs/>
          <w:sz w:val="22"/>
          <w:szCs w:val="22"/>
          <w:lang w:val="pt-BR"/>
        </w:rPr>
        <w:t>+33 493 187 887</w:t>
      </w:r>
      <w:r w:rsidRPr="002C2403">
        <w:rPr>
          <w:sz w:val="22"/>
          <w:szCs w:val="22"/>
          <w:lang w:val="pt-BR"/>
        </w:rPr>
        <w:t xml:space="preserve"> – E-mail: </w:t>
      </w:r>
      <w:hyperlink r:id="rId16" w:history="1">
        <w:r w:rsidRPr="002C2403">
          <w:rPr>
            <w:rStyle w:val="Lienhypertexte"/>
            <w:rFonts w:eastAsia="SimSun"/>
            <w:sz w:val="22"/>
            <w:szCs w:val="22"/>
            <w:lang w:val="pt-BR"/>
          </w:rPr>
          <w:t>maud.gauchon@edhec-risk.com</w:t>
        </w:r>
      </w:hyperlink>
    </w:p>
    <w:p w14:paraId="30B385AD" w14:textId="0E9460B1" w:rsidR="00B73D40" w:rsidRPr="00F147F4" w:rsidRDefault="006F4B3E" w:rsidP="00B73D40">
      <w:pPr>
        <w:tabs>
          <w:tab w:val="left" w:pos="3240"/>
        </w:tabs>
        <w:spacing w:line="280" w:lineRule="atLeast"/>
        <w:ind w:left="1620"/>
      </w:pPr>
      <w:r>
        <w:rPr>
          <w:sz w:val="22"/>
          <w:szCs w:val="22"/>
        </w:rPr>
        <w:t>V</w:t>
      </w:r>
      <w:r w:rsidR="00B73D40" w:rsidRPr="00F147F4">
        <w:rPr>
          <w:sz w:val="22"/>
          <w:szCs w:val="22"/>
        </w:rPr>
        <w:t xml:space="preserve">isit our web site: </w:t>
      </w:r>
      <w:hyperlink r:id="rId17" w:history="1">
        <w:r w:rsidR="009A55DD">
          <w:rPr>
            <w:rStyle w:val="Lienhypertexte"/>
            <w:rFonts w:eastAsia="SimSun"/>
            <w:sz w:val="22"/>
            <w:szCs w:val="22"/>
          </w:rPr>
          <w:t>https://risk.edhec.edu</w:t>
        </w:r>
      </w:hyperlink>
    </w:p>
    <w:p w14:paraId="721BFF1C" w14:textId="77777777" w:rsidR="00B73D40" w:rsidRDefault="00B73D40" w:rsidP="00B73D40">
      <w:pPr>
        <w:spacing w:line="360" w:lineRule="auto"/>
        <w:jc w:val="both"/>
        <w:rPr>
          <w:b/>
          <w:bCs/>
          <w:sz w:val="28"/>
          <w:szCs w:val="28"/>
        </w:rPr>
      </w:pPr>
    </w:p>
    <w:p w14:paraId="3716B707" w14:textId="77777777" w:rsidR="00C93AE1" w:rsidRDefault="00C93AE1" w:rsidP="00B73D40">
      <w:pPr>
        <w:spacing w:line="360" w:lineRule="auto"/>
        <w:jc w:val="both"/>
        <w:rPr>
          <w:b/>
          <w:bCs/>
          <w:sz w:val="28"/>
          <w:szCs w:val="28"/>
        </w:rPr>
      </w:pPr>
    </w:p>
    <w:p w14:paraId="7D786A12" w14:textId="77777777" w:rsidR="00B91A5F" w:rsidRPr="004726DC" w:rsidRDefault="00B91A5F" w:rsidP="00B91A5F">
      <w:pPr>
        <w:spacing w:line="360" w:lineRule="auto"/>
        <w:jc w:val="both"/>
        <w:rPr>
          <w:b/>
          <w:bCs/>
          <w:sz w:val="28"/>
          <w:szCs w:val="28"/>
        </w:rPr>
      </w:pPr>
      <w:r w:rsidRPr="004726DC">
        <w:rPr>
          <w:b/>
          <w:bCs/>
          <w:sz w:val="28"/>
          <w:szCs w:val="28"/>
        </w:rPr>
        <w:t>About EDHEC-Risk Institute</w:t>
      </w:r>
    </w:p>
    <w:p w14:paraId="0F8A2F46" w14:textId="77777777" w:rsidR="00B91A5F" w:rsidRPr="004726DC" w:rsidRDefault="00B91A5F" w:rsidP="00B91A5F">
      <w:pPr>
        <w:spacing w:line="360" w:lineRule="auto"/>
        <w:jc w:val="both"/>
        <w:rPr>
          <w:b/>
          <w:bCs/>
          <w:sz w:val="22"/>
          <w:szCs w:val="22"/>
        </w:rPr>
      </w:pPr>
      <w:r w:rsidRPr="004726DC">
        <w:rPr>
          <w:b/>
          <w:bCs/>
          <w:sz w:val="22"/>
          <w:szCs w:val="22"/>
        </w:rPr>
        <w:t>Academic Roots &amp; Practitioner Reach</w:t>
      </w:r>
    </w:p>
    <w:p w14:paraId="43445849" w14:textId="77777777" w:rsidR="00B91A5F" w:rsidRPr="004726DC" w:rsidRDefault="00B91A5F" w:rsidP="00B91A5F">
      <w:pPr>
        <w:spacing w:line="280" w:lineRule="atLeast"/>
        <w:jc w:val="both"/>
        <w:rPr>
          <w:sz w:val="22"/>
          <w:szCs w:val="22"/>
        </w:rPr>
      </w:pPr>
    </w:p>
    <w:p w14:paraId="2FFBC9C7" w14:textId="77777777" w:rsidR="00B91A5F" w:rsidRPr="00A4707D" w:rsidRDefault="00B91A5F" w:rsidP="00B91A5F">
      <w:pPr>
        <w:jc w:val="both"/>
        <w:rPr>
          <w:sz w:val="22"/>
          <w:szCs w:val="22"/>
        </w:rPr>
      </w:pPr>
      <w:r w:rsidRPr="00A4707D">
        <w:rPr>
          <w:sz w:val="22"/>
          <w:szCs w:val="22"/>
        </w:rPr>
        <w:t xml:space="preserve">Since 2001, EDHEC Business School has been pursuing an ambitious policy to produce academic research that is both practical and relevant. This policy, known as “Research for Business” and now labelled “Make an Impact”, aims to make EDHEC an academic institution of reference in a small number of areas in which the school has reached critical mass in terms of expertise and research results. </w:t>
      </w:r>
    </w:p>
    <w:p w14:paraId="6978A84A" w14:textId="77777777" w:rsidR="00B91A5F" w:rsidRPr="00A4707D" w:rsidRDefault="00B91A5F" w:rsidP="00B91A5F">
      <w:pPr>
        <w:jc w:val="both"/>
        <w:rPr>
          <w:sz w:val="22"/>
          <w:szCs w:val="22"/>
        </w:rPr>
      </w:pPr>
      <w:r w:rsidRPr="00A4707D">
        <w:rPr>
          <w:sz w:val="22"/>
          <w:szCs w:val="22"/>
        </w:rPr>
        <w:t xml:space="preserve">In 2001, EDHEC Business School created EDHEC-Risk Institute, a premier academic centre for industry-relevant research in investment management, which has developed a portfolio of research and educational initiatives in the domain of investment solutions for institutional and individual investors. </w:t>
      </w:r>
    </w:p>
    <w:p w14:paraId="54DD0648" w14:textId="77777777" w:rsidR="00B91A5F" w:rsidRPr="00A4707D" w:rsidRDefault="00B91A5F" w:rsidP="00B91A5F">
      <w:pPr>
        <w:jc w:val="both"/>
        <w:rPr>
          <w:sz w:val="22"/>
          <w:szCs w:val="22"/>
        </w:rPr>
      </w:pPr>
    </w:p>
    <w:p w14:paraId="3E46EB79" w14:textId="77777777" w:rsidR="00B91A5F" w:rsidRPr="00E06A42" w:rsidRDefault="00B91A5F" w:rsidP="00B91A5F">
      <w:pPr>
        <w:jc w:val="both"/>
        <w:rPr>
          <w:snapToGrid w:val="0"/>
          <w:sz w:val="22"/>
          <w:szCs w:val="22"/>
        </w:rPr>
      </w:pPr>
      <w:r w:rsidRPr="00A4707D">
        <w:rPr>
          <w:sz w:val="22"/>
          <w:szCs w:val="22"/>
        </w:rPr>
        <w:t>The institute</w:t>
      </w:r>
      <w:r>
        <w:rPr>
          <w:rFonts w:ascii="Opensans Regular" w:hAnsi="Opensans Regular"/>
          <w:color w:val="1C1C1C"/>
          <w:sz w:val="23"/>
          <w:szCs w:val="23"/>
        </w:rPr>
        <w:t xml:space="preserve">, in partnership with industry leaders, boasts a team of permanent professors, engineers and support staff, as well as affiliate professors and research associates. </w:t>
      </w:r>
      <w:r w:rsidR="00D95B61">
        <w:rPr>
          <w:rFonts w:ascii="Opensans Regular" w:hAnsi="Opensans Regular"/>
          <w:color w:val="1C1C1C"/>
          <w:sz w:val="23"/>
          <w:szCs w:val="23"/>
        </w:rPr>
        <w:t xml:space="preserve">They have gained very significant expertise </w:t>
      </w:r>
      <w:r>
        <w:rPr>
          <w:rFonts w:ascii="Opensans Regular" w:hAnsi="Opensans Regular"/>
          <w:color w:val="1C1C1C"/>
          <w:sz w:val="23"/>
          <w:szCs w:val="23"/>
        </w:rPr>
        <w:t>in the areas of </w:t>
      </w:r>
      <w:r w:rsidRPr="007C55C3">
        <w:rPr>
          <w:rStyle w:val="lev"/>
          <w:rFonts w:ascii="Opensans Bold" w:eastAsiaTheme="minorHAnsi" w:hAnsi="Opensans Bold"/>
          <w:color w:val="1C1C1C"/>
          <w:sz w:val="23"/>
          <w:szCs w:val="23"/>
        </w:rPr>
        <w:t>retirement investing</w:t>
      </w:r>
      <w:r>
        <w:rPr>
          <w:rStyle w:val="lev"/>
          <w:rFonts w:ascii="Opensans Bold" w:eastAsiaTheme="minorHAnsi" w:hAnsi="Opensans Bold"/>
          <w:color w:val="1C1C1C"/>
          <w:sz w:val="23"/>
          <w:szCs w:val="23"/>
        </w:rPr>
        <w:t xml:space="preserve"> </w:t>
      </w:r>
      <w:r w:rsidRPr="00D95B61">
        <w:rPr>
          <w:rStyle w:val="lev"/>
          <w:rFonts w:ascii="Opensans Bold" w:eastAsiaTheme="minorHAnsi" w:hAnsi="Opensans Bold"/>
          <w:b w:val="0"/>
          <w:color w:val="1C1C1C"/>
          <w:sz w:val="23"/>
          <w:szCs w:val="23"/>
        </w:rPr>
        <w:t>and</w:t>
      </w:r>
      <w:r>
        <w:rPr>
          <w:rStyle w:val="lev"/>
          <w:rFonts w:ascii="Opensans Bold" w:eastAsiaTheme="minorHAnsi" w:hAnsi="Opensans Bold"/>
          <w:color w:val="1C1C1C"/>
          <w:sz w:val="23"/>
          <w:szCs w:val="23"/>
        </w:rPr>
        <w:t xml:space="preserve"> </w:t>
      </w:r>
      <w:r w:rsidRPr="007C55C3">
        <w:rPr>
          <w:rStyle w:val="lev"/>
          <w:rFonts w:ascii="Opensans Bold" w:eastAsiaTheme="minorHAnsi" w:hAnsi="Opensans Bold"/>
          <w:color w:val="1C1C1C"/>
          <w:sz w:val="23"/>
          <w:szCs w:val="23"/>
        </w:rPr>
        <w:t>sustainable investing</w:t>
      </w:r>
      <w:r>
        <w:rPr>
          <w:rStyle w:val="lev"/>
          <w:rFonts w:ascii="Opensans Bold" w:eastAsiaTheme="minorHAnsi" w:hAnsi="Opensans Bold"/>
          <w:color w:val="1C1C1C"/>
          <w:sz w:val="23"/>
          <w:szCs w:val="23"/>
        </w:rPr>
        <w:t>.</w:t>
      </w:r>
      <w:r w:rsidRPr="00E06A42">
        <w:rPr>
          <w:sz w:val="22"/>
          <w:szCs w:val="22"/>
        </w:rPr>
        <w:t xml:space="preserve"> </w:t>
      </w:r>
      <w:r>
        <w:rPr>
          <w:sz w:val="22"/>
          <w:szCs w:val="22"/>
        </w:rPr>
        <w:t>Its</w:t>
      </w:r>
      <w:r>
        <w:rPr>
          <w:snapToGrid w:val="0"/>
          <w:sz w:val="22"/>
          <w:szCs w:val="22"/>
        </w:rPr>
        <w:t xml:space="preserve"> </w:t>
      </w:r>
      <w:r w:rsidRPr="00E06A42">
        <w:rPr>
          <w:snapToGrid w:val="0"/>
          <w:sz w:val="22"/>
          <w:szCs w:val="22"/>
        </w:rPr>
        <w:t xml:space="preserve">philosophy </w:t>
      </w:r>
      <w:proofErr w:type="gramStart"/>
      <w:r w:rsidRPr="00E06A42">
        <w:rPr>
          <w:snapToGrid w:val="0"/>
          <w:sz w:val="22"/>
          <w:szCs w:val="22"/>
        </w:rPr>
        <w:t>is</w:t>
      </w:r>
      <w:proofErr w:type="gramEnd"/>
      <w:r w:rsidRPr="00E06A42">
        <w:rPr>
          <w:snapToGrid w:val="0"/>
          <w:sz w:val="22"/>
          <w:szCs w:val="22"/>
        </w:rPr>
        <w:t xml:space="preserve"> to validate its work by publi</w:t>
      </w:r>
      <w:r>
        <w:rPr>
          <w:snapToGrid w:val="0"/>
          <w:sz w:val="22"/>
          <w:szCs w:val="22"/>
        </w:rPr>
        <w:t xml:space="preserve">shing </w:t>
      </w:r>
      <w:r w:rsidRPr="00E06A42">
        <w:rPr>
          <w:snapToGrid w:val="0"/>
          <w:sz w:val="22"/>
          <w:szCs w:val="22"/>
        </w:rPr>
        <w:t>in international academic journals, as well as to make it available to the sector through position papers, published studies</w:t>
      </w:r>
      <w:r>
        <w:rPr>
          <w:snapToGrid w:val="0"/>
          <w:sz w:val="22"/>
          <w:szCs w:val="22"/>
        </w:rPr>
        <w:t>, online courses, on-campus workshops</w:t>
      </w:r>
      <w:r w:rsidRPr="00E06A42">
        <w:rPr>
          <w:snapToGrid w:val="0"/>
          <w:sz w:val="22"/>
          <w:szCs w:val="22"/>
        </w:rPr>
        <w:t xml:space="preserve"> and global conferences.</w:t>
      </w:r>
    </w:p>
    <w:p w14:paraId="41C44957" w14:textId="77777777" w:rsidR="00B91A5F" w:rsidRPr="00E06A42" w:rsidRDefault="00B91A5F" w:rsidP="00B91A5F">
      <w:pPr>
        <w:spacing w:line="280" w:lineRule="atLeast"/>
        <w:jc w:val="both"/>
        <w:rPr>
          <w:sz w:val="22"/>
          <w:szCs w:val="22"/>
        </w:rPr>
      </w:pPr>
    </w:p>
    <w:p w14:paraId="223E53EB" w14:textId="77777777" w:rsidR="00B91A5F" w:rsidRPr="00E06A42" w:rsidRDefault="00B91A5F" w:rsidP="00B91A5F">
      <w:pPr>
        <w:spacing w:line="280" w:lineRule="atLeast"/>
        <w:jc w:val="both"/>
        <w:rPr>
          <w:sz w:val="22"/>
          <w:szCs w:val="22"/>
        </w:rPr>
      </w:pPr>
      <w:r w:rsidRPr="00E06A42">
        <w:rPr>
          <w:sz w:val="22"/>
          <w:szCs w:val="22"/>
        </w:rPr>
        <w:t xml:space="preserve">To ensure the </w:t>
      </w:r>
      <w:r>
        <w:rPr>
          <w:sz w:val="22"/>
          <w:szCs w:val="22"/>
        </w:rPr>
        <w:t>dissemination</w:t>
      </w:r>
      <w:r w:rsidRPr="00E06A42">
        <w:rPr>
          <w:sz w:val="22"/>
          <w:szCs w:val="22"/>
        </w:rPr>
        <w:t xml:space="preserve"> of its research to the </w:t>
      </w:r>
      <w:r>
        <w:rPr>
          <w:sz w:val="22"/>
          <w:szCs w:val="22"/>
        </w:rPr>
        <w:t xml:space="preserve">investment </w:t>
      </w:r>
      <w:r w:rsidRPr="00E06A42">
        <w:rPr>
          <w:sz w:val="22"/>
          <w:szCs w:val="22"/>
        </w:rPr>
        <w:t xml:space="preserve">industry, EDHEC-Risk also provides professionals with access to its website, </w:t>
      </w:r>
      <w:hyperlink r:id="rId18" w:history="1">
        <w:r w:rsidRPr="00E06A42">
          <w:rPr>
            <w:rStyle w:val="Lienhypertexte"/>
            <w:sz w:val="22"/>
            <w:szCs w:val="22"/>
          </w:rPr>
          <w:t>https://risk.edhec.edu</w:t>
        </w:r>
      </w:hyperlink>
      <w:r w:rsidRPr="00E06A42">
        <w:rPr>
          <w:sz w:val="22"/>
          <w:szCs w:val="22"/>
        </w:rPr>
        <w:t xml:space="preserve">, </w:t>
      </w:r>
      <w:r>
        <w:rPr>
          <w:sz w:val="22"/>
          <w:szCs w:val="22"/>
        </w:rPr>
        <w:t xml:space="preserve">which has more than 120,000 visitors </w:t>
      </w:r>
      <w:r>
        <w:rPr>
          <w:sz w:val="22"/>
          <w:szCs w:val="22"/>
        </w:rPr>
        <w:lastRenderedPageBreak/>
        <w:t xml:space="preserve">and is </w:t>
      </w:r>
      <w:r w:rsidRPr="00E06A42">
        <w:rPr>
          <w:sz w:val="22"/>
          <w:szCs w:val="22"/>
        </w:rPr>
        <w:t xml:space="preserve">devoted to asset and risk management research, with a focus on investment solutions. </w:t>
      </w:r>
      <w:r>
        <w:rPr>
          <w:sz w:val="22"/>
          <w:szCs w:val="22"/>
        </w:rPr>
        <w:t>Finally</w:t>
      </w:r>
      <w:r w:rsidRPr="00E06A42">
        <w:rPr>
          <w:sz w:val="22"/>
          <w:szCs w:val="22"/>
        </w:rPr>
        <w:t>, its quarterly newsletter is distributed to over 100,000 readers.</w:t>
      </w:r>
    </w:p>
    <w:p w14:paraId="4C261285" w14:textId="77777777" w:rsidR="00B91A5F" w:rsidRPr="00E06A42" w:rsidRDefault="00B91A5F" w:rsidP="00B91A5F">
      <w:pPr>
        <w:spacing w:line="280" w:lineRule="atLeast"/>
        <w:jc w:val="both"/>
        <w:rPr>
          <w:sz w:val="22"/>
          <w:szCs w:val="22"/>
        </w:rPr>
      </w:pPr>
    </w:p>
    <w:p w14:paraId="6BA16256" w14:textId="77777777" w:rsidR="00B91A5F" w:rsidRDefault="00B91A5F" w:rsidP="00B91A5F">
      <w:pPr>
        <w:jc w:val="both"/>
        <w:rPr>
          <w:sz w:val="22"/>
          <w:szCs w:val="22"/>
        </w:rPr>
      </w:pPr>
      <w:r w:rsidRPr="009E0DE9">
        <w:rPr>
          <w:sz w:val="22"/>
          <w:szCs w:val="22"/>
        </w:rPr>
        <w:t>Building on the cutting-edge research of the faculty, EDHEC-Risk Institute creates programmes to help executives level up their financial expertise on topics of considerable interest in the asset management industry: factor investing, goal-based investing, sustainable investing, data science and machine</w:t>
      </w:r>
      <w:r>
        <w:rPr>
          <w:sz w:val="22"/>
          <w:szCs w:val="22"/>
        </w:rPr>
        <w:t xml:space="preserve"> </w:t>
      </w:r>
      <w:r w:rsidRPr="009E0DE9">
        <w:rPr>
          <w:sz w:val="22"/>
          <w:szCs w:val="22"/>
        </w:rPr>
        <w:t>learning.</w:t>
      </w:r>
    </w:p>
    <w:p w14:paraId="29467E45" w14:textId="77777777" w:rsidR="00B91A5F" w:rsidRPr="009E0DE9" w:rsidRDefault="00B91A5F" w:rsidP="00B91A5F">
      <w:pPr>
        <w:jc w:val="both"/>
        <w:rPr>
          <w:sz w:val="22"/>
          <w:szCs w:val="22"/>
        </w:rPr>
      </w:pPr>
    </w:p>
    <w:p w14:paraId="1066EED1" w14:textId="77777777" w:rsidR="00B91A5F" w:rsidRPr="009E0DE9" w:rsidRDefault="00B91A5F" w:rsidP="00B91A5F">
      <w:pPr>
        <w:jc w:val="both"/>
        <w:rPr>
          <w:sz w:val="22"/>
          <w:szCs w:val="22"/>
        </w:rPr>
      </w:pPr>
      <w:r w:rsidRPr="009E0DE9">
        <w:rPr>
          <w:sz w:val="22"/>
          <w:szCs w:val="22"/>
        </w:rPr>
        <w:t xml:space="preserve">EDHEC-Risk’s </w:t>
      </w:r>
      <w:r>
        <w:rPr>
          <w:sz w:val="22"/>
          <w:szCs w:val="22"/>
        </w:rPr>
        <w:t>mission</w:t>
      </w:r>
      <w:r w:rsidRPr="009E0DE9">
        <w:rPr>
          <w:sz w:val="22"/>
          <w:szCs w:val="22"/>
        </w:rPr>
        <w:t xml:space="preserve"> is to give participants an edge in today’s fast-changing landscape, with programmes designed to guide them towards converting theoretical concepts into practical results. Courses are run in different format</w:t>
      </w:r>
      <w:r>
        <w:rPr>
          <w:sz w:val="22"/>
          <w:szCs w:val="22"/>
        </w:rPr>
        <w:t>s</w:t>
      </w:r>
      <w:r w:rsidRPr="009E0DE9">
        <w:rPr>
          <w:sz w:val="22"/>
          <w:szCs w:val="22"/>
        </w:rPr>
        <w:t xml:space="preserve"> to match </w:t>
      </w:r>
      <w:r>
        <w:rPr>
          <w:sz w:val="22"/>
          <w:szCs w:val="22"/>
        </w:rPr>
        <w:t xml:space="preserve">the </w:t>
      </w:r>
      <w:r w:rsidRPr="009E0DE9">
        <w:rPr>
          <w:sz w:val="22"/>
          <w:szCs w:val="22"/>
        </w:rPr>
        <w:t>market</w:t>
      </w:r>
      <w:r>
        <w:rPr>
          <w:sz w:val="22"/>
          <w:szCs w:val="22"/>
        </w:rPr>
        <w:t>’s</w:t>
      </w:r>
      <w:r w:rsidRPr="009E0DE9">
        <w:rPr>
          <w:sz w:val="22"/>
          <w:szCs w:val="22"/>
        </w:rPr>
        <w:t xml:space="preserve"> needs: 100% on line, on</w:t>
      </w:r>
      <w:r>
        <w:rPr>
          <w:sz w:val="22"/>
          <w:szCs w:val="22"/>
        </w:rPr>
        <w:t>-</w:t>
      </w:r>
      <w:r w:rsidRPr="009E0DE9">
        <w:rPr>
          <w:sz w:val="22"/>
          <w:szCs w:val="22"/>
        </w:rPr>
        <w:t xml:space="preserve">site, blended or bespoke programmes. To date, 2,500 professionals have chosen EDHEC-Risk Institute to </w:t>
      </w:r>
      <w:r>
        <w:rPr>
          <w:sz w:val="22"/>
          <w:szCs w:val="22"/>
        </w:rPr>
        <w:t xml:space="preserve">help them </w:t>
      </w:r>
      <w:r w:rsidRPr="009E0DE9">
        <w:rPr>
          <w:sz w:val="22"/>
          <w:szCs w:val="22"/>
        </w:rPr>
        <w:t xml:space="preserve">address their challenges. </w:t>
      </w:r>
    </w:p>
    <w:p w14:paraId="57E481EB" w14:textId="77777777" w:rsidR="00B91A5F" w:rsidRPr="00E06A42" w:rsidRDefault="00B91A5F" w:rsidP="00B91A5F">
      <w:pPr>
        <w:spacing w:line="280" w:lineRule="atLeast"/>
        <w:jc w:val="both"/>
        <w:rPr>
          <w:sz w:val="22"/>
          <w:szCs w:val="22"/>
        </w:rPr>
      </w:pPr>
    </w:p>
    <w:p w14:paraId="745904D6" w14:textId="77777777" w:rsidR="00B91A5F" w:rsidRDefault="00B91A5F" w:rsidP="00B91A5F">
      <w:pPr>
        <w:jc w:val="both"/>
        <w:rPr>
          <w:rFonts w:ascii="Helvetica" w:hAnsi="Helvetica"/>
          <w:sz w:val="22"/>
          <w:szCs w:val="22"/>
          <w:shd w:val="clear" w:color="auto" w:fill="FFFFFF"/>
        </w:rPr>
      </w:pPr>
      <w:r w:rsidRPr="00E06A42">
        <w:rPr>
          <w:sz w:val="22"/>
          <w:szCs w:val="22"/>
        </w:rPr>
        <w:t xml:space="preserve">As part of its policy of transferring know-how to the </w:t>
      </w:r>
      <w:r>
        <w:rPr>
          <w:sz w:val="22"/>
          <w:szCs w:val="22"/>
        </w:rPr>
        <w:t xml:space="preserve">investment </w:t>
      </w:r>
      <w:r w:rsidRPr="00E06A42">
        <w:rPr>
          <w:sz w:val="22"/>
          <w:szCs w:val="22"/>
        </w:rPr>
        <w:t>industry</w:t>
      </w:r>
      <w:r>
        <w:rPr>
          <w:sz w:val="22"/>
          <w:szCs w:val="22"/>
        </w:rPr>
        <w:t xml:space="preserve">, </w:t>
      </w:r>
      <w:r w:rsidRPr="00E06A42">
        <w:rPr>
          <w:sz w:val="22"/>
          <w:szCs w:val="22"/>
        </w:rPr>
        <w:t xml:space="preserve">EDHEC-Risk Institute set up Scientific Beta, an original initiative </w:t>
      </w:r>
      <w:r>
        <w:rPr>
          <w:sz w:val="22"/>
          <w:szCs w:val="22"/>
        </w:rPr>
        <w:t xml:space="preserve">to boost the take-up </w:t>
      </w:r>
      <w:r w:rsidRPr="00E06A42">
        <w:rPr>
          <w:sz w:val="22"/>
          <w:szCs w:val="22"/>
        </w:rPr>
        <w:t xml:space="preserve">of the latest advances in smart beta design and implementation by the whole investment industry. </w:t>
      </w:r>
      <w:r>
        <w:rPr>
          <w:sz w:val="22"/>
          <w:szCs w:val="22"/>
        </w:rPr>
        <w:t xml:space="preserve">On 31 January 2020, Singapore Exchange (SGX) acquired a majority stake in Scientific Beta, a transaction </w:t>
      </w:r>
      <w:r w:rsidRPr="00F96A3D">
        <w:rPr>
          <w:sz w:val="22"/>
          <w:szCs w:val="22"/>
        </w:rPr>
        <w:t xml:space="preserve">that </w:t>
      </w:r>
      <w:r w:rsidRPr="005647D9">
        <w:rPr>
          <w:sz w:val="22"/>
          <w:szCs w:val="22"/>
          <w:shd w:val="clear" w:color="auto" w:fill="FFFFFF"/>
        </w:rPr>
        <w:t>vindicates the school</w:t>
      </w:r>
      <w:r>
        <w:rPr>
          <w:sz w:val="22"/>
          <w:szCs w:val="22"/>
          <w:shd w:val="clear" w:color="auto" w:fill="FFFFFF"/>
        </w:rPr>
        <w:t>’s</w:t>
      </w:r>
      <w:r w:rsidRPr="005647D9">
        <w:rPr>
          <w:sz w:val="22"/>
          <w:szCs w:val="22"/>
          <w:shd w:val="clear" w:color="auto" w:fill="FFFFFF"/>
        </w:rPr>
        <w:t xml:space="preserve"> “Make an Impact” model and </w:t>
      </w:r>
      <w:r>
        <w:rPr>
          <w:sz w:val="22"/>
          <w:szCs w:val="22"/>
          <w:shd w:val="clear" w:color="auto" w:fill="FFFFFF"/>
        </w:rPr>
        <w:t xml:space="preserve">its </w:t>
      </w:r>
      <w:r w:rsidRPr="005647D9">
        <w:rPr>
          <w:sz w:val="22"/>
          <w:szCs w:val="22"/>
          <w:shd w:val="clear" w:color="auto" w:fill="FFFFFF"/>
        </w:rPr>
        <w:t>focus on producing</w:t>
      </w:r>
      <w:r>
        <w:rPr>
          <w:bCs/>
          <w:sz w:val="22"/>
          <w:szCs w:val="22"/>
        </w:rPr>
        <w:t xml:space="preserve"> </w:t>
      </w:r>
      <w:r w:rsidRPr="005647D9">
        <w:rPr>
          <w:bCs/>
          <w:sz w:val="22"/>
          <w:szCs w:val="22"/>
        </w:rPr>
        <w:t>research</w:t>
      </w:r>
      <w:r>
        <w:rPr>
          <w:bCs/>
          <w:sz w:val="22"/>
          <w:szCs w:val="22"/>
        </w:rPr>
        <w:t xml:space="preserve"> that is useful</w:t>
      </w:r>
      <w:r w:rsidRPr="005647D9">
        <w:rPr>
          <w:bCs/>
          <w:sz w:val="22"/>
          <w:szCs w:val="22"/>
        </w:rPr>
        <w:t> </w:t>
      </w:r>
      <w:r w:rsidRPr="005647D9">
        <w:rPr>
          <w:sz w:val="22"/>
          <w:szCs w:val="22"/>
          <w:shd w:val="clear" w:color="auto" w:fill="FFFFFF"/>
        </w:rPr>
        <w:t xml:space="preserve">for </w:t>
      </w:r>
      <w:r w:rsidRPr="00D14F5F">
        <w:rPr>
          <w:sz w:val="22"/>
          <w:szCs w:val="22"/>
          <w:shd w:val="clear" w:color="auto" w:fill="FFFFFF"/>
        </w:rPr>
        <w:t xml:space="preserve">both </w:t>
      </w:r>
      <w:r w:rsidRPr="005647D9">
        <w:rPr>
          <w:sz w:val="22"/>
          <w:szCs w:val="22"/>
          <w:shd w:val="clear" w:color="auto" w:fill="FFFFFF"/>
        </w:rPr>
        <w:t>students and businesses.</w:t>
      </w:r>
      <w:r w:rsidRPr="005647D9">
        <w:rPr>
          <w:rFonts w:ascii="Helvetica" w:hAnsi="Helvetica"/>
          <w:sz w:val="22"/>
          <w:szCs w:val="22"/>
          <w:shd w:val="clear" w:color="auto" w:fill="FFFFFF"/>
        </w:rPr>
        <w:t xml:space="preserve"> </w:t>
      </w:r>
    </w:p>
    <w:p w14:paraId="161B783C" w14:textId="77777777" w:rsidR="00B91A5F" w:rsidRPr="00E06A42" w:rsidRDefault="00B91A5F" w:rsidP="00B91A5F">
      <w:pPr>
        <w:jc w:val="both"/>
        <w:rPr>
          <w:sz w:val="22"/>
          <w:szCs w:val="22"/>
        </w:rPr>
      </w:pPr>
      <w:r w:rsidRPr="00F96A3D">
        <w:rPr>
          <w:sz w:val="22"/>
          <w:szCs w:val="22"/>
        </w:rPr>
        <w:t>ED</w:t>
      </w:r>
      <w:r w:rsidRPr="00E06A42">
        <w:rPr>
          <w:sz w:val="22"/>
          <w:szCs w:val="22"/>
        </w:rPr>
        <w:t xml:space="preserve">HEC-Risk Institute also contributed to </w:t>
      </w:r>
      <w:r>
        <w:rPr>
          <w:sz w:val="22"/>
          <w:szCs w:val="22"/>
        </w:rPr>
        <w:t xml:space="preserve">the </w:t>
      </w:r>
      <w:r w:rsidRPr="00E06A42">
        <w:rPr>
          <w:sz w:val="22"/>
          <w:szCs w:val="22"/>
        </w:rPr>
        <w:t>launch of EDHEC Infrastructure Institute (EDHEC</w:t>
      </w:r>
      <w:r w:rsidRPr="00E06A42">
        <w:rPr>
          <w:i/>
          <w:sz w:val="22"/>
          <w:szCs w:val="22"/>
        </w:rPr>
        <w:t>infra</w:t>
      </w:r>
      <w:r w:rsidRPr="00E06A42">
        <w:rPr>
          <w:sz w:val="22"/>
          <w:szCs w:val="22"/>
        </w:rPr>
        <w:t>), a spin-off dedicated to benchmarking private infrastructure investments. EDHEC</w:t>
      </w:r>
      <w:r w:rsidRPr="00E06A42">
        <w:rPr>
          <w:i/>
          <w:sz w:val="22"/>
          <w:szCs w:val="22"/>
        </w:rPr>
        <w:t>infra</w:t>
      </w:r>
      <w:r w:rsidRPr="00E06A42">
        <w:rPr>
          <w:sz w:val="22"/>
          <w:szCs w:val="22"/>
        </w:rPr>
        <w:t xml:space="preserve"> </w:t>
      </w:r>
      <w:r>
        <w:rPr>
          <w:sz w:val="22"/>
          <w:szCs w:val="22"/>
        </w:rPr>
        <w:t>is now a provider of research and indices on unlisted infrastructure investments</w:t>
      </w:r>
      <w:r w:rsidRPr="00E06A42">
        <w:rPr>
          <w:sz w:val="22"/>
          <w:szCs w:val="22"/>
        </w:rPr>
        <w:t>.</w:t>
      </w:r>
    </w:p>
    <w:p w14:paraId="36E05E41" w14:textId="77777777" w:rsidR="00B91A5F" w:rsidRPr="004726DC" w:rsidRDefault="00B91A5F" w:rsidP="00B91A5F">
      <w:pPr>
        <w:jc w:val="both"/>
        <w:rPr>
          <w:sz w:val="22"/>
          <w:szCs w:val="22"/>
        </w:rPr>
      </w:pPr>
    </w:p>
    <w:p w14:paraId="588CAFE4" w14:textId="77777777" w:rsidR="00B91A5F" w:rsidRPr="004726DC" w:rsidRDefault="00B91A5F" w:rsidP="00B91A5F">
      <w:pPr>
        <w:jc w:val="both"/>
        <w:rPr>
          <w:sz w:val="22"/>
          <w:szCs w:val="22"/>
        </w:rPr>
      </w:pPr>
    </w:p>
    <w:p w14:paraId="28449439" w14:textId="77777777" w:rsidR="00B91A5F" w:rsidRPr="004726DC" w:rsidRDefault="00B91A5F" w:rsidP="00B91A5F">
      <w:pPr>
        <w:spacing w:line="280" w:lineRule="atLeast"/>
        <w:jc w:val="center"/>
        <w:rPr>
          <w:sz w:val="22"/>
          <w:szCs w:val="22"/>
        </w:rPr>
      </w:pPr>
      <w:r w:rsidRPr="004726DC">
        <w:rPr>
          <w:sz w:val="22"/>
          <w:szCs w:val="22"/>
        </w:rPr>
        <w:t>@EDHECRisk</w:t>
      </w:r>
    </w:p>
    <w:p w14:paraId="69F712BD" w14:textId="77777777" w:rsidR="00B91A5F" w:rsidRPr="004726DC" w:rsidRDefault="00B91A5F" w:rsidP="00B91A5F">
      <w:pPr>
        <w:spacing w:line="280" w:lineRule="atLeast"/>
        <w:jc w:val="center"/>
        <w:rPr>
          <w:sz w:val="22"/>
          <w:szCs w:val="22"/>
        </w:rPr>
      </w:pPr>
      <w:r w:rsidRPr="004726DC">
        <w:rPr>
          <w:sz w:val="22"/>
          <w:szCs w:val="22"/>
        </w:rPr>
        <w:t>#MakeFinanceUsefulAgain</w:t>
      </w:r>
    </w:p>
    <w:p w14:paraId="4696DA2A" w14:textId="77777777" w:rsidR="00B91A5F" w:rsidRPr="004726DC" w:rsidRDefault="00B91A5F" w:rsidP="00B91A5F">
      <w:pPr>
        <w:spacing w:line="280" w:lineRule="atLeast"/>
        <w:jc w:val="both"/>
        <w:rPr>
          <w:sz w:val="22"/>
          <w:szCs w:val="22"/>
        </w:rPr>
      </w:pPr>
    </w:p>
    <w:p w14:paraId="243C609D" w14:textId="77777777" w:rsidR="00B91A5F" w:rsidRPr="004726DC" w:rsidRDefault="00B91A5F" w:rsidP="00B91A5F">
      <w:pPr>
        <w:jc w:val="both"/>
        <w:rPr>
          <w:color w:val="000000" w:themeColor="text1"/>
          <w:sz w:val="22"/>
          <w:szCs w:val="22"/>
        </w:rPr>
      </w:pPr>
    </w:p>
    <w:p w14:paraId="3B533B55" w14:textId="77777777" w:rsidR="00B91A5F" w:rsidRPr="004726DC" w:rsidRDefault="00B91A5F" w:rsidP="00B91A5F">
      <w:pPr>
        <w:autoSpaceDE w:val="0"/>
        <w:autoSpaceDN w:val="0"/>
        <w:adjustRightInd w:val="0"/>
        <w:rPr>
          <w:b/>
          <w:bCs/>
          <w:sz w:val="16"/>
          <w:szCs w:val="16"/>
          <w:lang w:eastAsia="zh-CN"/>
        </w:rPr>
      </w:pPr>
      <w:r w:rsidRPr="004726DC">
        <w:rPr>
          <w:b/>
          <w:bCs/>
          <w:sz w:val="16"/>
          <w:szCs w:val="16"/>
          <w:lang w:eastAsia="zh-CN"/>
        </w:rPr>
        <w:t xml:space="preserve">                     </w:t>
      </w:r>
      <w:r w:rsidRPr="004726DC">
        <w:rPr>
          <w:b/>
          <w:bCs/>
          <w:sz w:val="16"/>
          <w:szCs w:val="16"/>
          <w:lang w:eastAsia="zh-CN"/>
        </w:rPr>
        <w:tab/>
        <w:t>EDHEC-Risk Institute</w:t>
      </w:r>
      <w:r w:rsidRPr="004726DC">
        <w:rPr>
          <w:b/>
          <w:bCs/>
          <w:sz w:val="16"/>
          <w:szCs w:val="16"/>
          <w:lang w:eastAsia="zh-CN"/>
        </w:rPr>
        <w:tab/>
      </w:r>
      <w:r w:rsidRPr="004726DC">
        <w:rPr>
          <w:b/>
          <w:bCs/>
          <w:sz w:val="16"/>
          <w:szCs w:val="16"/>
          <w:lang w:eastAsia="zh-CN"/>
        </w:rPr>
        <w:tab/>
      </w:r>
      <w:r w:rsidRPr="004726DC">
        <w:rPr>
          <w:b/>
          <w:bCs/>
          <w:sz w:val="16"/>
          <w:szCs w:val="16"/>
          <w:lang w:eastAsia="zh-CN"/>
        </w:rPr>
        <w:tab/>
      </w:r>
      <w:r w:rsidRPr="004726DC">
        <w:rPr>
          <w:b/>
          <w:bCs/>
          <w:sz w:val="16"/>
          <w:szCs w:val="16"/>
          <w:lang w:eastAsia="zh-CN"/>
        </w:rPr>
        <w:tab/>
      </w:r>
      <w:r w:rsidRPr="004726DC">
        <w:rPr>
          <w:b/>
          <w:bCs/>
          <w:sz w:val="16"/>
          <w:szCs w:val="16"/>
          <w:lang w:eastAsia="zh-CN"/>
        </w:rPr>
        <w:tab/>
        <w:t>EDHEC-Risk Institute – Europe</w:t>
      </w:r>
    </w:p>
    <w:p w14:paraId="0317EC9F" w14:textId="77777777" w:rsidR="00B91A5F" w:rsidRPr="009E0E3D" w:rsidRDefault="00B91A5F" w:rsidP="00B91A5F">
      <w:pPr>
        <w:autoSpaceDE w:val="0"/>
        <w:autoSpaceDN w:val="0"/>
        <w:adjustRightInd w:val="0"/>
        <w:ind w:left="708" w:firstLine="708"/>
        <w:rPr>
          <w:sz w:val="16"/>
          <w:szCs w:val="16"/>
          <w:lang w:eastAsia="zh-CN"/>
        </w:rPr>
      </w:pPr>
      <w:r w:rsidRPr="009E0E3D">
        <w:rPr>
          <w:sz w:val="16"/>
          <w:szCs w:val="16"/>
          <w:lang w:eastAsia="zh-CN"/>
        </w:rPr>
        <w:t>393 promenade des Anglais</w:t>
      </w:r>
      <w:r w:rsidRPr="009E0E3D">
        <w:rPr>
          <w:sz w:val="16"/>
          <w:szCs w:val="16"/>
          <w:lang w:eastAsia="zh-CN"/>
        </w:rPr>
        <w:tab/>
      </w:r>
      <w:r w:rsidRPr="009E0E3D">
        <w:rPr>
          <w:sz w:val="16"/>
          <w:szCs w:val="16"/>
          <w:lang w:eastAsia="zh-CN"/>
        </w:rPr>
        <w:tab/>
      </w:r>
      <w:r w:rsidRPr="009E0E3D">
        <w:rPr>
          <w:sz w:val="16"/>
          <w:szCs w:val="16"/>
          <w:lang w:eastAsia="zh-CN"/>
        </w:rPr>
        <w:tab/>
      </w:r>
      <w:r w:rsidRPr="009E0E3D">
        <w:rPr>
          <w:sz w:val="16"/>
          <w:szCs w:val="16"/>
          <w:lang w:eastAsia="zh-CN"/>
        </w:rPr>
        <w:tab/>
      </w:r>
      <w:r w:rsidRPr="009E0E3D">
        <w:rPr>
          <w:sz w:val="16"/>
          <w:szCs w:val="16"/>
          <w:lang w:eastAsia="zh-CN"/>
        </w:rPr>
        <w:tab/>
        <w:t>10 Fleet Place, Ludgate</w:t>
      </w:r>
    </w:p>
    <w:p w14:paraId="47DD40D7" w14:textId="77777777" w:rsidR="00B91A5F" w:rsidRPr="004726DC" w:rsidRDefault="00B91A5F" w:rsidP="00B91A5F">
      <w:pPr>
        <w:autoSpaceDE w:val="0"/>
        <w:autoSpaceDN w:val="0"/>
        <w:adjustRightInd w:val="0"/>
        <w:ind w:left="708" w:firstLine="708"/>
        <w:rPr>
          <w:sz w:val="16"/>
          <w:szCs w:val="16"/>
          <w:lang w:eastAsia="zh-CN"/>
        </w:rPr>
      </w:pPr>
      <w:r w:rsidRPr="004726DC">
        <w:rPr>
          <w:sz w:val="16"/>
          <w:szCs w:val="16"/>
          <w:lang w:eastAsia="zh-CN"/>
        </w:rPr>
        <w:t>BP 3116 – 06202 Nice Cedex 3</w:t>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t>London EC4M 7RB</w:t>
      </w:r>
      <w:r w:rsidRPr="004726DC">
        <w:rPr>
          <w:sz w:val="16"/>
          <w:szCs w:val="16"/>
          <w:lang w:eastAsia="zh-CN"/>
        </w:rPr>
        <w:tab/>
      </w:r>
      <w:r w:rsidRPr="004726DC">
        <w:rPr>
          <w:sz w:val="16"/>
          <w:szCs w:val="16"/>
          <w:lang w:eastAsia="zh-CN"/>
        </w:rPr>
        <w:tab/>
      </w:r>
    </w:p>
    <w:p w14:paraId="0E0D50FA" w14:textId="77777777" w:rsidR="00B91A5F" w:rsidRPr="004726DC" w:rsidRDefault="00B91A5F" w:rsidP="00B91A5F">
      <w:pPr>
        <w:autoSpaceDE w:val="0"/>
        <w:autoSpaceDN w:val="0"/>
        <w:adjustRightInd w:val="0"/>
        <w:ind w:left="708" w:firstLine="708"/>
        <w:rPr>
          <w:sz w:val="16"/>
          <w:szCs w:val="16"/>
          <w:lang w:eastAsia="zh-CN"/>
        </w:rPr>
      </w:pPr>
      <w:r w:rsidRPr="004726DC">
        <w:rPr>
          <w:sz w:val="16"/>
          <w:szCs w:val="16"/>
          <w:lang w:eastAsia="zh-CN"/>
        </w:rPr>
        <w:t>France</w:t>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t>United Kingdom</w:t>
      </w:r>
      <w:r w:rsidRPr="004726DC">
        <w:rPr>
          <w:sz w:val="16"/>
          <w:szCs w:val="16"/>
          <w:lang w:eastAsia="zh-CN"/>
        </w:rPr>
        <w:tab/>
      </w:r>
      <w:r w:rsidRPr="004726DC">
        <w:rPr>
          <w:sz w:val="16"/>
          <w:szCs w:val="16"/>
          <w:lang w:eastAsia="zh-CN"/>
        </w:rPr>
        <w:tab/>
      </w:r>
    </w:p>
    <w:p w14:paraId="2FE83B45" w14:textId="77777777" w:rsidR="00B91A5F" w:rsidRPr="004726DC" w:rsidRDefault="00B91A5F" w:rsidP="00B91A5F">
      <w:pPr>
        <w:autoSpaceDE w:val="0"/>
        <w:autoSpaceDN w:val="0"/>
        <w:adjustRightInd w:val="0"/>
        <w:ind w:left="708" w:firstLine="708"/>
        <w:rPr>
          <w:sz w:val="16"/>
          <w:szCs w:val="16"/>
          <w:lang w:val="en-US" w:eastAsia="zh-CN"/>
        </w:rPr>
      </w:pPr>
      <w:r w:rsidRPr="004726DC">
        <w:rPr>
          <w:sz w:val="16"/>
          <w:szCs w:val="16"/>
          <w:lang w:val="en-US" w:eastAsia="zh-CN"/>
        </w:rPr>
        <w:t>Tel: +33 493 187 887</w:t>
      </w:r>
      <w:r w:rsidRPr="004726DC">
        <w:rPr>
          <w:sz w:val="16"/>
          <w:szCs w:val="16"/>
          <w:lang w:val="en-US" w:eastAsia="zh-CN"/>
        </w:rPr>
        <w:tab/>
      </w:r>
      <w:r w:rsidRPr="004726DC">
        <w:rPr>
          <w:sz w:val="16"/>
          <w:szCs w:val="16"/>
          <w:lang w:val="en-US" w:eastAsia="zh-CN"/>
        </w:rPr>
        <w:tab/>
      </w:r>
      <w:r w:rsidRPr="004726DC">
        <w:rPr>
          <w:sz w:val="16"/>
          <w:szCs w:val="16"/>
          <w:lang w:val="en-US" w:eastAsia="zh-CN"/>
        </w:rPr>
        <w:tab/>
      </w:r>
      <w:r w:rsidRPr="004726DC">
        <w:rPr>
          <w:sz w:val="16"/>
          <w:szCs w:val="16"/>
          <w:lang w:val="en-US" w:eastAsia="zh-CN"/>
        </w:rPr>
        <w:tab/>
      </w:r>
      <w:r w:rsidRPr="004726DC">
        <w:rPr>
          <w:sz w:val="16"/>
          <w:szCs w:val="16"/>
          <w:lang w:val="en-US" w:eastAsia="zh-CN"/>
        </w:rPr>
        <w:tab/>
      </w:r>
      <w:r w:rsidRPr="004726DC">
        <w:rPr>
          <w:sz w:val="16"/>
          <w:szCs w:val="16"/>
          <w:lang w:val="en-US" w:eastAsia="zh-CN"/>
        </w:rPr>
        <w:tab/>
        <w:t>Tel: + 44 207 332 5600</w:t>
      </w:r>
      <w:r w:rsidRPr="004726DC">
        <w:rPr>
          <w:sz w:val="16"/>
          <w:szCs w:val="16"/>
          <w:lang w:val="en-US" w:eastAsia="zh-CN"/>
        </w:rPr>
        <w:tab/>
      </w:r>
    </w:p>
    <w:p w14:paraId="7B36A599" w14:textId="77777777" w:rsidR="00B91A5F" w:rsidRDefault="00B91A5F" w:rsidP="00B91A5F"/>
    <w:p w14:paraId="7A7BCF1F" w14:textId="77777777" w:rsidR="00B91A5F" w:rsidRPr="004726DC" w:rsidRDefault="00B91A5F" w:rsidP="00B91A5F"/>
    <w:p w14:paraId="7AC5D1DE" w14:textId="77777777" w:rsidR="00B91A5F" w:rsidRPr="004726DC" w:rsidRDefault="00B91A5F" w:rsidP="00B91A5F">
      <w:pPr>
        <w:spacing w:line="360" w:lineRule="auto"/>
        <w:jc w:val="both"/>
        <w:rPr>
          <w:b/>
          <w:bCs/>
          <w:sz w:val="28"/>
          <w:szCs w:val="28"/>
        </w:rPr>
      </w:pPr>
    </w:p>
    <w:p w14:paraId="12112A5C" w14:textId="77777777" w:rsidR="00B91A5F" w:rsidRPr="00674CDF" w:rsidRDefault="00B91A5F" w:rsidP="00B91A5F">
      <w:pPr>
        <w:spacing w:line="252" w:lineRule="auto"/>
        <w:rPr>
          <w:b/>
          <w:bCs/>
          <w:sz w:val="28"/>
          <w:szCs w:val="28"/>
          <w:u w:val="single"/>
          <w:lang w:val="en-US"/>
        </w:rPr>
      </w:pPr>
      <w:r w:rsidRPr="00674CDF">
        <w:rPr>
          <w:b/>
          <w:bCs/>
          <w:sz w:val="28"/>
          <w:szCs w:val="28"/>
          <w:u w:val="single"/>
        </w:rPr>
        <w:t>About Amundi</w:t>
      </w:r>
    </w:p>
    <w:p w14:paraId="3792D6E0" w14:textId="4F33BADC" w:rsidR="00B91A5F" w:rsidRPr="00674CDF" w:rsidRDefault="00B91A5F" w:rsidP="00B91A5F">
      <w:pPr>
        <w:spacing w:line="252" w:lineRule="auto"/>
        <w:jc w:val="both"/>
        <w:rPr>
          <w:sz w:val="22"/>
          <w:szCs w:val="22"/>
          <w:lang w:val="en-US" w:eastAsia="en-GB"/>
        </w:rPr>
      </w:pPr>
      <w:r w:rsidRPr="00674CDF">
        <w:rPr>
          <w:sz w:val="22"/>
          <w:szCs w:val="22"/>
          <w:lang w:val="en-US" w:eastAsia="en-GB"/>
        </w:rPr>
        <w:t>Amundi, the leading European asset manager, ranking among the top 10 global players</w:t>
      </w:r>
      <w:r>
        <w:rPr>
          <w:rStyle w:val="Appelnotedebasdep"/>
          <w:sz w:val="22"/>
          <w:szCs w:val="22"/>
          <w:lang w:val="en-US" w:eastAsia="en-GB"/>
        </w:rPr>
        <w:footnoteReference w:id="3"/>
      </w:r>
      <w:r w:rsidRPr="00674CDF">
        <w:rPr>
          <w:sz w:val="22"/>
          <w:szCs w:val="22"/>
          <w:lang w:val="en-US" w:eastAsia="en-GB"/>
        </w:rPr>
        <w:t xml:space="preserve">, offers its 100 million clients </w:t>
      </w:r>
      <w:r w:rsidR="006D2B81">
        <w:rPr>
          <w:sz w:val="22"/>
          <w:szCs w:val="22"/>
          <w:lang w:val="en-US" w:eastAsia="en-GB"/>
        </w:rPr>
        <w:t>–</w:t>
      </w:r>
      <w:r w:rsidR="006D2B81" w:rsidRPr="00674CDF">
        <w:rPr>
          <w:sz w:val="22"/>
          <w:szCs w:val="22"/>
          <w:lang w:val="en-US" w:eastAsia="en-GB"/>
        </w:rPr>
        <w:t xml:space="preserve"> </w:t>
      </w:r>
      <w:r w:rsidRPr="00674CDF">
        <w:rPr>
          <w:sz w:val="22"/>
          <w:szCs w:val="22"/>
          <w:lang w:val="en-US" w:eastAsia="en-GB"/>
        </w:rPr>
        <w:t xml:space="preserve">retail, institutional and corporate </w:t>
      </w:r>
      <w:r w:rsidR="006D2B81">
        <w:rPr>
          <w:sz w:val="22"/>
          <w:szCs w:val="22"/>
          <w:lang w:val="en-US" w:eastAsia="en-GB"/>
        </w:rPr>
        <w:t>–</w:t>
      </w:r>
      <w:r w:rsidR="006D2B81" w:rsidRPr="00674CDF">
        <w:rPr>
          <w:sz w:val="22"/>
          <w:szCs w:val="22"/>
          <w:lang w:val="en-US" w:eastAsia="en-GB"/>
        </w:rPr>
        <w:t xml:space="preserve"> </w:t>
      </w:r>
      <w:r w:rsidRPr="00674CDF">
        <w:rPr>
          <w:sz w:val="22"/>
          <w:szCs w:val="22"/>
          <w:lang w:val="en-US" w:eastAsia="en-GB"/>
        </w:rPr>
        <w:t xml:space="preserve">a complete range of savings and investment solutions in active and passive management, in traditional or real assets. </w:t>
      </w:r>
    </w:p>
    <w:p w14:paraId="174A25D8" w14:textId="77777777" w:rsidR="00B91A5F" w:rsidRPr="00674CDF" w:rsidRDefault="00B91A5F" w:rsidP="00B91A5F">
      <w:pPr>
        <w:spacing w:line="252" w:lineRule="auto"/>
        <w:jc w:val="both"/>
        <w:rPr>
          <w:sz w:val="22"/>
          <w:szCs w:val="22"/>
          <w:lang w:val="en-US" w:eastAsia="en-GB"/>
        </w:rPr>
      </w:pPr>
    </w:p>
    <w:p w14:paraId="129A9A7A" w14:textId="77777777" w:rsidR="00B91A5F" w:rsidRPr="00674CDF" w:rsidRDefault="00B91A5F" w:rsidP="00B91A5F">
      <w:pPr>
        <w:spacing w:line="252" w:lineRule="auto"/>
        <w:jc w:val="both"/>
        <w:rPr>
          <w:sz w:val="22"/>
          <w:szCs w:val="22"/>
          <w:lang w:val="en-US" w:eastAsia="en-GB"/>
        </w:rPr>
      </w:pPr>
      <w:r w:rsidRPr="00674CDF">
        <w:rPr>
          <w:sz w:val="22"/>
          <w:szCs w:val="22"/>
          <w:lang w:val="en-US" w:eastAsia="en-GB"/>
        </w:rPr>
        <w:t>With its six international investment hubs</w:t>
      </w:r>
      <w:r>
        <w:rPr>
          <w:rStyle w:val="Appelnotedebasdep"/>
          <w:sz w:val="22"/>
          <w:szCs w:val="22"/>
          <w:lang w:val="en-US" w:eastAsia="en-GB"/>
        </w:rPr>
        <w:footnoteReference w:id="4"/>
      </w:r>
      <w:r w:rsidRPr="00674CDF">
        <w:rPr>
          <w:sz w:val="22"/>
          <w:szCs w:val="22"/>
          <w:lang w:val="en-US" w:eastAsia="en-GB"/>
        </w:rPr>
        <w:t>, financial and extra-financial research capabilities and long-standing commitment to responsible investment, Amundi is a key player in the asset management landscape.</w:t>
      </w:r>
    </w:p>
    <w:p w14:paraId="5024E6FA" w14:textId="77777777" w:rsidR="00B91A5F" w:rsidRPr="00674CDF" w:rsidRDefault="00B91A5F" w:rsidP="00B91A5F">
      <w:pPr>
        <w:spacing w:line="252" w:lineRule="auto"/>
        <w:jc w:val="both"/>
        <w:rPr>
          <w:sz w:val="22"/>
          <w:szCs w:val="22"/>
          <w:lang w:val="en-US" w:eastAsia="en-GB"/>
        </w:rPr>
      </w:pPr>
    </w:p>
    <w:p w14:paraId="32BDE88D" w14:textId="0074E076" w:rsidR="00B91A5F" w:rsidRPr="00674CDF" w:rsidRDefault="00B91A5F" w:rsidP="00B91A5F">
      <w:pPr>
        <w:spacing w:line="252" w:lineRule="auto"/>
        <w:jc w:val="both"/>
        <w:rPr>
          <w:sz w:val="22"/>
          <w:szCs w:val="22"/>
          <w:lang w:val="en-US" w:eastAsia="en-GB"/>
        </w:rPr>
      </w:pPr>
      <w:r w:rsidRPr="00674CDF">
        <w:rPr>
          <w:sz w:val="22"/>
          <w:szCs w:val="22"/>
          <w:lang w:val="en-US" w:eastAsia="en-GB"/>
        </w:rPr>
        <w:t>Amundi clients benefit from the expertise and advice of 4,</w:t>
      </w:r>
      <w:r w:rsidR="00A15D38">
        <w:rPr>
          <w:sz w:val="22"/>
          <w:szCs w:val="22"/>
          <w:lang w:val="en-US" w:eastAsia="en-GB"/>
        </w:rPr>
        <w:t>7</w:t>
      </w:r>
      <w:r w:rsidRPr="00674CDF">
        <w:rPr>
          <w:sz w:val="22"/>
          <w:szCs w:val="22"/>
          <w:lang w:val="en-US" w:eastAsia="en-GB"/>
        </w:rPr>
        <w:t xml:space="preserve">00 employees in nearly </w:t>
      </w:r>
      <w:r w:rsidR="00201982">
        <w:rPr>
          <w:sz w:val="22"/>
          <w:szCs w:val="22"/>
          <w:lang w:val="en-US" w:eastAsia="en-GB"/>
        </w:rPr>
        <w:t>35</w:t>
      </w:r>
      <w:r w:rsidR="00201982" w:rsidRPr="00674CDF">
        <w:rPr>
          <w:sz w:val="22"/>
          <w:szCs w:val="22"/>
          <w:lang w:val="en-US" w:eastAsia="en-GB"/>
        </w:rPr>
        <w:t xml:space="preserve"> </w:t>
      </w:r>
      <w:r w:rsidRPr="00674CDF">
        <w:rPr>
          <w:sz w:val="22"/>
          <w:szCs w:val="22"/>
          <w:lang w:val="en-US" w:eastAsia="en-GB"/>
        </w:rPr>
        <w:t>countries. Created in 2010 and listed on the stock exchange in 2015, Amundi currently manages nearly €1.</w:t>
      </w:r>
      <w:r w:rsidR="00A15D38">
        <w:rPr>
          <w:sz w:val="22"/>
          <w:szCs w:val="22"/>
          <w:lang w:val="en-US" w:eastAsia="en-GB"/>
        </w:rPr>
        <w:t>7</w:t>
      </w:r>
      <w:r w:rsidR="00201982">
        <w:rPr>
          <w:sz w:val="22"/>
          <w:szCs w:val="22"/>
          <w:lang w:val="en-US" w:eastAsia="en-GB"/>
        </w:rPr>
        <w:t>00</w:t>
      </w:r>
      <w:r w:rsidR="00A15D38">
        <w:rPr>
          <w:sz w:val="22"/>
          <w:szCs w:val="22"/>
          <w:lang w:val="en-US" w:eastAsia="en-GB"/>
        </w:rPr>
        <w:t xml:space="preserve"> </w:t>
      </w:r>
      <w:r w:rsidRPr="00674CDF">
        <w:rPr>
          <w:sz w:val="22"/>
          <w:szCs w:val="22"/>
          <w:lang w:val="en-US" w:eastAsia="en-GB"/>
        </w:rPr>
        <w:t>trillion</w:t>
      </w:r>
      <w:r>
        <w:rPr>
          <w:rStyle w:val="Appelnotedebasdep"/>
          <w:sz w:val="22"/>
          <w:szCs w:val="22"/>
          <w:lang w:val="en-US" w:eastAsia="en-GB"/>
        </w:rPr>
        <w:footnoteReference w:id="5"/>
      </w:r>
      <w:r w:rsidRPr="00674CDF">
        <w:rPr>
          <w:sz w:val="22"/>
          <w:szCs w:val="22"/>
          <w:lang w:val="en-US" w:eastAsia="en-GB"/>
        </w:rPr>
        <w:t xml:space="preserve"> of assets.</w:t>
      </w:r>
    </w:p>
    <w:p w14:paraId="3A8F39FF" w14:textId="77777777" w:rsidR="00B91A5F" w:rsidRPr="00674CDF" w:rsidRDefault="00B91A5F" w:rsidP="00B91A5F">
      <w:pPr>
        <w:spacing w:line="252" w:lineRule="auto"/>
        <w:jc w:val="both"/>
        <w:rPr>
          <w:sz w:val="22"/>
          <w:szCs w:val="22"/>
        </w:rPr>
      </w:pPr>
    </w:p>
    <w:p w14:paraId="76E11C00" w14:textId="77777777" w:rsidR="00201982" w:rsidRDefault="00B91A5F" w:rsidP="00B91A5F">
      <w:pPr>
        <w:spacing w:line="252" w:lineRule="auto"/>
        <w:jc w:val="both"/>
        <w:rPr>
          <w:color w:val="000000"/>
          <w:sz w:val="22"/>
          <w:szCs w:val="22"/>
          <w:lang w:val="en-US"/>
        </w:rPr>
      </w:pPr>
      <w:r w:rsidRPr="00674CDF">
        <w:rPr>
          <w:b/>
          <w:bCs/>
          <w:color w:val="000000"/>
          <w:sz w:val="22"/>
          <w:szCs w:val="22"/>
          <w:lang w:val="en-US"/>
        </w:rPr>
        <w:t>Amundi ETF, Indexing and Smart Beta</w:t>
      </w:r>
      <w:r w:rsidRPr="00674CDF">
        <w:rPr>
          <w:color w:val="000000"/>
          <w:sz w:val="22"/>
          <w:szCs w:val="22"/>
          <w:lang w:val="en-US"/>
        </w:rPr>
        <w:t xml:space="preserve"> </w:t>
      </w:r>
    </w:p>
    <w:p w14:paraId="0A667339" w14:textId="77777777" w:rsidR="00201982" w:rsidRPr="00201982" w:rsidRDefault="00201982" w:rsidP="00201982">
      <w:pPr>
        <w:spacing w:line="252" w:lineRule="auto"/>
        <w:jc w:val="both"/>
        <w:rPr>
          <w:color w:val="000000"/>
          <w:sz w:val="22"/>
          <w:szCs w:val="22"/>
          <w:lang w:val="en-US"/>
        </w:rPr>
      </w:pPr>
      <w:r w:rsidRPr="00201982">
        <w:rPr>
          <w:color w:val="000000"/>
          <w:sz w:val="22"/>
          <w:szCs w:val="22"/>
          <w:lang w:val="en-US"/>
        </w:rPr>
        <w:t>With more than €158 billion* in assets under management, Amundi ETF, Indexing and Smart Beta is one of Amundi’s strategic business areas and is a key growth driver for the Group.</w:t>
      </w:r>
    </w:p>
    <w:p w14:paraId="175F13F2" w14:textId="77777777" w:rsidR="00201982" w:rsidRPr="00201982" w:rsidRDefault="00201982" w:rsidP="00201982">
      <w:pPr>
        <w:spacing w:line="252" w:lineRule="auto"/>
        <w:jc w:val="both"/>
        <w:rPr>
          <w:color w:val="000000"/>
          <w:sz w:val="22"/>
          <w:szCs w:val="22"/>
          <w:lang w:val="en-US"/>
        </w:rPr>
      </w:pPr>
      <w:r w:rsidRPr="00201982">
        <w:rPr>
          <w:color w:val="000000"/>
          <w:sz w:val="22"/>
          <w:szCs w:val="22"/>
          <w:lang w:val="en-US"/>
        </w:rPr>
        <w:t xml:space="preserve"> </w:t>
      </w:r>
    </w:p>
    <w:p w14:paraId="358CF445" w14:textId="084E0AC4" w:rsidR="00201982" w:rsidRPr="00201982" w:rsidRDefault="00201982" w:rsidP="00201982">
      <w:pPr>
        <w:spacing w:line="252" w:lineRule="auto"/>
        <w:jc w:val="both"/>
        <w:rPr>
          <w:color w:val="000000"/>
          <w:sz w:val="22"/>
          <w:szCs w:val="22"/>
          <w:lang w:val="en-US"/>
        </w:rPr>
      </w:pPr>
      <w:r w:rsidRPr="00201982">
        <w:rPr>
          <w:color w:val="000000"/>
          <w:sz w:val="22"/>
          <w:szCs w:val="22"/>
          <w:lang w:val="en-US"/>
        </w:rPr>
        <w:lastRenderedPageBreak/>
        <w:t xml:space="preserve">Amundi ETF, Indexing and Smart Beta business line provides investors </w:t>
      </w:r>
      <w:r w:rsidR="006D2B81">
        <w:rPr>
          <w:color w:val="000000"/>
          <w:sz w:val="22"/>
          <w:szCs w:val="22"/>
          <w:lang w:val="en-US"/>
        </w:rPr>
        <w:t>–</w:t>
      </w:r>
      <w:r w:rsidR="006D2B81" w:rsidRPr="00201982">
        <w:rPr>
          <w:color w:val="000000"/>
          <w:sz w:val="22"/>
          <w:szCs w:val="22"/>
          <w:lang w:val="en-US"/>
        </w:rPr>
        <w:t xml:space="preserve"> </w:t>
      </w:r>
      <w:r w:rsidRPr="00201982">
        <w:rPr>
          <w:color w:val="000000"/>
          <w:sz w:val="22"/>
          <w:szCs w:val="22"/>
          <w:lang w:val="en-US"/>
        </w:rPr>
        <w:t xml:space="preserve">whether institutionals or distributors </w:t>
      </w:r>
      <w:r w:rsidR="006D2B81">
        <w:rPr>
          <w:color w:val="000000"/>
          <w:sz w:val="22"/>
          <w:szCs w:val="22"/>
          <w:lang w:val="en-US"/>
        </w:rPr>
        <w:t>–</w:t>
      </w:r>
      <w:r w:rsidR="006D2B81" w:rsidRPr="00201982">
        <w:rPr>
          <w:color w:val="000000"/>
          <w:sz w:val="22"/>
          <w:szCs w:val="22"/>
          <w:lang w:val="en-US"/>
        </w:rPr>
        <w:t xml:space="preserve"> </w:t>
      </w:r>
      <w:r w:rsidRPr="00201982">
        <w:rPr>
          <w:color w:val="000000"/>
          <w:sz w:val="22"/>
          <w:szCs w:val="22"/>
          <w:lang w:val="en-US"/>
        </w:rPr>
        <w:t xml:space="preserve">with robust, innovative, and cost-efficient solutions, leveraging Amundi Group’s scale and large resources. The platform also offers investors fully customized solutions (ESG, Low Carbon, specific exclusions, risk constraints, etc.). </w:t>
      </w:r>
    </w:p>
    <w:p w14:paraId="7B83CE3C" w14:textId="77777777" w:rsidR="00201982" w:rsidRPr="00201982" w:rsidRDefault="00201982" w:rsidP="00201982">
      <w:pPr>
        <w:spacing w:line="252" w:lineRule="auto"/>
        <w:jc w:val="both"/>
        <w:rPr>
          <w:color w:val="000000"/>
          <w:sz w:val="22"/>
          <w:szCs w:val="22"/>
          <w:lang w:val="en-US"/>
        </w:rPr>
      </w:pPr>
      <w:r w:rsidRPr="00201982">
        <w:rPr>
          <w:color w:val="000000"/>
          <w:sz w:val="22"/>
          <w:szCs w:val="22"/>
          <w:lang w:val="en-US"/>
        </w:rPr>
        <w:t xml:space="preserve"> </w:t>
      </w:r>
    </w:p>
    <w:p w14:paraId="0A8BC577" w14:textId="7FD9C132" w:rsidR="00201982" w:rsidRPr="00201982" w:rsidRDefault="00201982" w:rsidP="00201982">
      <w:pPr>
        <w:spacing w:line="252" w:lineRule="auto"/>
        <w:jc w:val="both"/>
        <w:rPr>
          <w:color w:val="000000"/>
          <w:sz w:val="22"/>
          <w:szCs w:val="22"/>
          <w:lang w:val="en-US"/>
        </w:rPr>
      </w:pPr>
      <w:r w:rsidRPr="00201982">
        <w:rPr>
          <w:color w:val="000000"/>
          <w:sz w:val="22"/>
          <w:szCs w:val="22"/>
          <w:lang w:val="en-US"/>
        </w:rPr>
        <w:t xml:space="preserve">With over 30 years of benchmark construction and replication expertise, Amundi is a trusted name in ETF &amp; Index management among the world’s largest institutions. The team is also recognized for its ability to develop Smart Beta &amp; Factor Investing solutions, with </w:t>
      </w:r>
      <w:r w:rsidR="006D2B81">
        <w:rPr>
          <w:color w:val="000000"/>
          <w:sz w:val="22"/>
          <w:szCs w:val="22"/>
          <w:lang w:val="en-US"/>
        </w:rPr>
        <w:t xml:space="preserve">a </w:t>
      </w:r>
      <w:r w:rsidRPr="00201982">
        <w:rPr>
          <w:color w:val="000000"/>
          <w:sz w:val="22"/>
          <w:szCs w:val="22"/>
          <w:lang w:val="en-US"/>
        </w:rPr>
        <w:t>more than 10-year track-record.</w:t>
      </w:r>
    </w:p>
    <w:p w14:paraId="2F232ED6" w14:textId="77777777" w:rsidR="00201982" w:rsidRPr="00201982" w:rsidRDefault="00201982" w:rsidP="00201982">
      <w:pPr>
        <w:spacing w:line="252" w:lineRule="auto"/>
        <w:jc w:val="both"/>
        <w:rPr>
          <w:color w:val="000000"/>
          <w:sz w:val="22"/>
          <w:szCs w:val="22"/>
          <w:lang w:val="en-US"/>
        </w:rPr>
      </w:pPr>
    </w:p>
    <w:p w14:paraId="4946F7EA" w14:textId="72FA0227" w:rsidR="00201982" w:rsidRDefault="00201982" w:rsidP="00201982">
      <w:pPr>
        <w:spacing w:line="252" w:lineRule="auto"/>
        <w:jc w:val="both"/>
        <w:rPr>
          <w:color w:val="000000"/>
          <w:sz w:val="22"/>
          <w:szCs w:val="22"/>
          <w:lang w:val="en-US"/>
        </w:rPr>
      </w:pPr>
      <w:r w:rsidRPr="00201982">
        <w:rPr>
          <w:color w:val="000000"/>
          <w:sz w:val="22"/>
          <w:szCs w:val="22"/>
          <w:lang w:val="en-US"/>
        </w:rPr>
        <w:t>*All figures and data are provided by Amundi ETF, Indexing &amp; Smart Beta as of end December 2020</w:t>
      </w:r>
    </w:p>
    <w:p w14:paraId="7C317D63" w14:textId="77777777" w:rsidR="00201982" w:rsidRDefault="00201982" w:rsidP="00201982">
      <w:pPr>
        <w:spacing w:line="252" w:lineRule="auto"/>
        <w:jc w:val="both"/>
        <w:rPr>
          <w:color w:val="000000"/>
          <w:sz w:val="22"/>
          <w:szCs w:val="22"/>
          <w:lang w:val="en-US"/>
        </w:rPr>
      </w:pPr>
    </w:p>
    <w:p w14:paraId="23B0BE23" w14:textId="249539AC" w:rsidR="00B91A5F" w:rsidRPr="00674CDF" w:rsidRDefault="00B91A5F" w:rsidP="00B91A5F">
      <w:pPr>
        <w:spacing w:line="252" w:lineRule="auto"/>
        <w:jc w:val="both"/>
        <w:rPr>
          <w:color w:val="000000"/>
          <w:sz w:val="22"/>
          <w:szCs w:val="22"/>
          <w:lang w:val="en-US"/>
        </w:rPr>
      </w:pPr>
    </w:p>
    <w:p w14:paraId="4E7AF7AA" w14:textId="77777777" w:rsidR="00B91A5F" w:rsidRPr="004726DC" w:rsidRDefault="00B91A5F" w:rsidP="00B91A5F">
      <w:pPr>
        <w:jc w:val="both"/>
        <w:rPr>
          <w:b/>
          <w:bCs/>
          <w:sz w:val="22"/>
          <w:szCs w:val="22"/>
          <w:lang w:eastAsia="zh-CN"/>
        </w:rPr>
      </w:pPr>
    </w:p>
    <w:p w14:paraId="5E7C2260" w14:textId="77777777" w:rsidR="00B91A5F" w:rsidRPr="005D6D33" w:rsidRDefault="00B91A5F" w:rsidP="00B91A5F">
      <w:pPr>
        <w:rPr>
          <w:sz w:val="22"/>
          <w:szCs w:val="22"/>
        </w:rPr>
      </w:pPr>
    </w:p>
    <w:p w14:paraId="5B3FB31C" w14:textId="77777777" w:rsidR="00213930" w:rsidRPr="00367E63" w:rsidRDefault="00213930" w:rsidP="00B91A5F">
      <w:pPr>
        <w:spacing w:line="360" w:lineRule="auto"/>
        <w:jc w:val="both"/>
        <w:rPr>
          <w:b/>
          <w:bCs/>
          <w:sz w:val="28"/>
          <w:szCs w:val="28"/>
        </w:rPr>
      </w:pPr>
    </w:p>
    <w:sectPr w:rsidR="00213930" w:rsidRPr="00367E63" w:rsidSect="00FD7765">
      <w:pgSz w:w="11906" w:h="16838"/>
      <w:pgMar w:top="851" w:right="1417" w:bottom="851" w:left="141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4267D" w14:textId="77777777" w:rsidR="00C022CB" w:rsidRDefault="00C022CB">
      <w:r>
        <w:separator/>
      </w:r>
    </w:p>
  </w:endnote>
  <w:endnote w:type="continuationSeparator" w:id="0">
    <w:p w14:paraId="1EF4C4B7" w14:textId="77777777" w:rsidR="00C022CB" w:rsidRDefault="00C0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T">
    <w:altName w:val="Lucida Sans Unico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Opensans Regular">
    <w:altName w:val="Times New Roman"/>
    <w:panose1 w:val="00000000000000000000"/>
    <w:charset w:val="00"/>
    <w:family w:val="roman"/>
    <w:notTrueType/>
    <w:pitch w:val="default"/>
  </w:font>
  <w:font w:name="Opensans 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972DA" w14:textId="77777777" w:rsidR="00C022CB" w:rsidRDefault="00C022CB">
      <w:r>
        <w:separator/>
      </w:r>
    </w:p>
  </w:footnote>
  <w:footnote w:type="continuationSeparator" w:id="0">
    <w:p w14:paraId="13A3A0CB" w14:textId="77777777" w:rsidR="00C022CB" w:rsidRDefault="00C022CB">
      <w:r>
        <w:continuationSeparator/>
      </w:r>
    </w:p>
  </w:footnote>
  <w:footnote w:id="1">
    <w:p w14:paraId="36D65C05" w14:textId="0C6498D5" w:rsidR="008A5E02" w:rsidRPr="008A5E02" w:rsidRDefault="008A5E02">
      <w:pPr>
        <w:pStyle w:val="Notedebasdepage"/>
        <w:rPr>
          <w:i/>
          <w:sz w:val="16"/>
          <w:szCs w:val="16"/>
        </w:rPr>
      </w:pPr>
      <w:r w:rsidRPr="008A5E02">
        <w:rPr>
          <w:rStyle w:val="Appelnotedebasdep"/>
          <w:i/>
          <w:sz w:val="16"/>
          <w:szCs w:val="16"/>
        </w:rPr>
        <w:footnoteRef/>
      </w:r>
      <w:r w:rsidRPr="008A5E02">
        <w:rPr>
          <w:i/>
          <w:sz w:val="16"/>
          <w:szCs w:val="16"/>
        </w:rPr>
        <w:t xml:space="preserve"> Broadridge, ESG: Transforming asset management and fund distribution, September 2020</w:t>
      </w:r>
    </w:p>
  </w:footnote>
  <w:footnote w:id="2">
    <w:p w14:paraId="3AD4DE7E" w14:textId="00393A2D" w:rsidR="00AD4E1D" w:rsidRDefault="00AD4E1D">
      <w:pPr>
        <w:pStyle w:val="Notedebasdepage"/>
      </w:pPr>
      <w:r>
        <w:rPr>
          <w:rStyle w:val="Appelnotedebasdep"/>
        </w:rPr>
        <w:footnoteRef/>
      </w:r>
      <w:r w:rsidR="004E33F1">
        <w:t xml:space="preserve"> </w:t>
      </w:r>
      <w:r>
        <w:rPr>
          <w:i/>
          <w:sz w:val="16"/>
          <w:szCs w:val="16"/>
        </w:rPr>
        <w:t>FT.com</w:t>
      </w:r>
      <w:r w:rsidRPr="007B0823">
        <w:rPr>
          <w:i/>
          <w:sz w:val="16"/>
          <w:szCs w:val="16"/>
        </w:rPr>
        <w:t xml:space="preserve">, ESG funds defy havoc to ratchet huge inflows, </w:t>
      </w:r>
      <w:r>
        <w:rPr>
          <w:i/>
          <w:sz w:val="16"/>
          <w:szCs w:val="16"/>
        </w:rPr>
        <w:t>6</w:t>
      </w:r>
      <w:r w:rsidRPr="007B0823">
        <w:rPr>
          <w:i/>
          <w:sz w:val="16"/>
          <w:szCs w:val="16"/>
        </w:rPr>
        <w:t xml:space="preserve"> February 2021</w:t>
      </w:r>
      <w:r w:rsidR="004E33F1">
        <w:rPr>
          <w:i/>
          <w:sz w:val="16"/>
          <w:szCs w:val="16"/>
        </w:rPr>
        <w:t xml:space="preserve"> </w:t>
      </w:r>
    </w:p>
  </w:footnote>
  <w:footnote w:id="3">
    <w:p w14:paraId="40FC4EA0" w14:textId="77777777" w:rsidR="00B91A5F" w:rsidRPr="00FE1BEB" w:rsidRDefault="00B91A5F" w:rsidP="00B91A5F">
      <w:pPr>
        <w:pStyle w:val="Notedebasdepage"/>
        <w:rPr>
          <w:sz w:val="16"/>
          <w:lang w:val="en-US"/>
        </w:rPr>
      </w:pPr>
      <w:r>
        <w:rPr>
          <w:rStyle w:val="Appelnotedebasdep"/>
        </w:rPr>
        <w:footnoteRef/>
      </w:r>
      <w:r>
        <w:t xml:space="preserve"> </w:t>
      </w:r>
      <w:r>
        <w:rPr>
          <w:sz w:val="16"/>
          <w:lang w:val="en-US"/>
        </w:rPr>
        <w:t>Source IPE “Top 5</w:t>
      </w:r>
      <w:r w:rsidRPr="00893698">
        <w:rPr>
          <w:sz w:val="16"/>
          <w:lang w:val="en-US"/>
        </w:rPr>
        <w:t>00 asset</w:t>
      </w:r>
      <w:r>
        <w:rPr>
          <w:sz w:val="16"/>
          <w:lang w:val="en-US"/>
        </w:rPr>
        <w:t xml:space="preserve"> managers” published in June 2020</w:t>
      </w:r>
      <w:r w:rsidRPr="00893698">
        <w:rPr>
          <w:sz w:val="16"/>
          <w:lang w:val="en-US"/>
        </w:rPr>
        <w:t xml:space="preserve"> and based on AUM as of end December 201</w:t>
      </w:r>
      <w:r>
        <w:rPr>
          <w:sz w:val="16"/>
          <w:lang w:val="en-US"/>
        </w:rPr>
        <w:t>9</w:t>
      </w:r>
    </w:p>
  </w:footnote>
  <w:footnote w:id="4">
    <w:p w14:paraId="2A6137C1" w14:textId="77777777" w:rsidR="00B91A5F" w:rsidRDefault="00B91A5F" w:rsidP="00B91A5F">
      <w:pPr>
        <w:pStyle w:val="Notedebasdepage"/>
      </w:pPr>
      <w:r>
        <w:rPr>
          <w:rStyle w:val="Appelnotedebasdep"/>
        </w:rPr>
        <w:footnoteRef/>
      </w:r>
      <w:r>
        <w:t xml:space="preserve"> </w:t>
      </w:r>
      <w:r w:rsidRPr="00B5262A">
        <w:rPr>
          <w:sz w:val="16"/>
          <w:lang w:val="en-US"/>
        </w:rPr>
        <w:t>Boston, Dublin, London, Milan, Paris and Tokyo</w:t>
      </w:r>
    </w:p>
  </w:footnote>
  <w:footnote w:id="5">
    <w:p w14:paraId="6EA4A29B" w14:textId="3DE48F5B" w:rsidR="00B91A5F" w:rsidRDefault="00B91A5F" w:rsidP="00B91A5F">
      <w:pPr>
        <w:pStyle w:val="Notedebasdepage"/>
      </w:pPr>
      <w:r>
        <w:rPr>
          <w:rStyle w:val="Appelnotedebasdep"/>
        </w:rPr>
        <w:footnoteRef/>
      </w:r>
      <w:r>
        <w:t xml:space="preserve"> </w:t>
      </w:r>
      <w:r w:rsidRPr="00B5262A">
        <w:rPr>
          <w:sz w:val="16"/>
          <w:lang w:val="en-US"/>
        </w:rPr>
        <w:t>Amundi data as at 3</w:t>
      </w:r>
      <w:r w:rsidR="006A4986">
        <w:rPr>
          <w:sz w:val="16"/>
          <w:lang w:val="en-US"/>
        </w:rPr>
        <w:t>1</w:t>
      </w:r>
      <w:r w:rsidRPr="00B5262A">
        <w:rPr>
          <w:sz w:val="16"/>
          <w:lang w:val="en-US"/>
        </w:rPr>
        <w:t>/</w:t>
      </w:r>
      <w:r w:rsidR="003A33B4">
        <w:rPr>
          <w:sz w:val="16"/>
          <w:lang w:val="en-US"/>
        </w:rPr>
        <w:t>12</w:t>
      </w:r>
      <w:r w:rsidRPr="00B5262A">
        <w:rPr>
          <w:sz w:val="16"/>
          <w:lang w:val="en-US"/>
        </w:rPr>
        <w:t>/2020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1CF"/>
    <w:multiLevelType w:val="hybridMultilevel"/>
    <w:tmpl w:val="97089E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172148"/>
    <w:multiLevelType w:val="multilevel"/>
    <w:tmpl w:val="E8FA3E7C"/>
    <w:lvl w:ilvl="0">
      <w:start w:val="1"/>
      <w:numFmt w:val="bullet"/>
      <w:lvlText w:val=""/>
      <w:lvlJc w:val="left"/>
      <w:pPr>
        <w:tabs>
          <w:tab w:val="num" w:pos="510"/>
        </w:tabs>
        <w:ind w:left="510" w:hanging="226"/>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2136CE3"/>
    <w:multiLevelType w:val="hybridMultilevel"/>
    <w:tmpl w:val="0B36517E"/>
    <w:lvl w:ilvl="0" w:tplc="28C45BC0">
      <w:start w:val="1"/>
      <w:numFmt w:val="bullet"/>
      <w:lvlText w:val=""/>
      <w:lvlJc w:val="left"/>
      <w:pPr>
        <w:tabs>
          <w:tab w:val="num" w:pos="510"/>
        </w:tabs>
        <w:ind w:left="510" w:hanging="226"/>
      </w:pPr>
      <w:rPr>
        <w:rFonts w:ascii="Symbol" w:hAnsi="Symbol" w:hint="default"/>
        <w:b w:val="0"/>
        <w:i w:val="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D1358"/>
    <w:multiLevelType w:val="hybridMultilevel"/>
    <w:tmpl w:val="8FE0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82C03"/>
    <w:multiLevelType w:val="hybridMultilevel"/>
    <w:tmpl w:val="45D2F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C0880"/>
    <w:multiLevelType w:val="hybridMultilevel"/>
    <w:tmpl w:val="794CD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BE70E9"/>
    <w:multiLevelType w:val="hybridMultilevel"/>
    <w:tmpl w:val="C2363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72173"/>
    <w:multiLevelType w:val="hybridMultilevel"/>
    <w:tmpl w:val="6C740B30"/>
    <w:lvl w:ilvl="0" w:tplc="0F463A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01D6A"/>
    <w:multiLevelType w:val="hybridMultilevel"/>
    <w:tmpl w:val="4FA29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7B401D"/>
    <w:multiLevelType w:val="hybridMultilevel"/>
    <w:tmpl w:val="96665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39111D"/>
    <w:multiLevelType w:val="hybridMultilevel"/>
    <w:tmpl w:val="CA501492"/>
    <w:lvl w:ilvl="0" w:tplc="2A5A48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1D4E68"/>
    <w:multiLevelType w:val="hybridMultilevel"/>
    <w:tmpl w:val="476ED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F2DF4"/>
    <w:multiLevelType w:val="hybridMultilevel"/>
    <w:tmpl w:val="612C6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C225CFE"/>
    <w:multiLevelType w:val="hybridMultilevel"/>
    <w:tmpl w:val="9578B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921ADB"/>
    <w:multiLevelType w:val="hybridMultilevel"/>
    <w:tmpl w:val="FE46922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97BFD"/>
    <w:multiLevelType w:val="hybridMultilevel"/>
    <w:tmpl w:val="038A1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341AC5"/>
    <w:multiLevelType w:val="hybridMultilevel"/>
    <w:tmpl w:val="3AA43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A03C3C"/>
    <w:multiLevelType w:val="hybridMultilevel"/>
    <w:tmpl w:val="272C13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607325F"/>
    <w:multiLevelType w:val="hybridMultilevel"/>
    <w:tmpl w:val="2B5CD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D96066"/>
    <w:multiLevelType w:val="hybridMultilevel"/>
    <w:tmpl w:val="DC58B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D442DC"/>
    <w:multiLevelType w:val="hybridMultilevel"/>
    <w:tmpl w:val="656A08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EFD06F7"/>
    <w:multiLevelType w:val="hybridMultilevel"/>
    <w:tmpl w:val="CC2A0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16"/>
  </w:num>
  <w:num w:numId="6">
    <w:abstractNumId w:val="10"/>
  </w:num>
  <w:num w:numId="7">
    <w:abstractNumId w:val="23"/>
  </w:num>
  <w:num w:numId="8">
    <w:abstractNumId w:val="11"/>
  </w:num>
  <w:num w:numId="9">
    <w:abstractNumId w:val="9"/>
  </w:num>
  <w:num w:numId="10">
    <w:abstractNumId w:val="3"/>
  </w:num>
  <w:num w:numId="11">
    <w:abstractNumId w:val="17"/>
  </w:num>
  <w:num w:numId="12">
    <w:abstractNumId w:val="18"/>
  </w:num>
  <w:num w:numId="13">
    <w:abstractNumId w:val="21"/>
  </w:num>
  <w:num w:numId="14">
    <w:abstractNumId w:val="15"/>
  </w:num>
  <w:num w:numId="15">
    <w:abstractNumId w:val="19"/>
  </w:num>
  <w:num w:numId="16">
    <w:abstractNumId w:val="12"/>
  </w:num>
  <w:num w:numId="17">
    <w:abstractNumId w:val="22"/>
  </w:num>
  <w:num w:numId="18">
    <w:abstractNumId w:val="14"/>
  </w:num>
  <w:num w:numId="19">
    <w:abstractNumId w:val="6"/>
  </w:num>
  <w:num w:numId="20">
    <w:abstractNumId w:val="7"/>
  </w:num>
  <w:num w:numId="21">
    <w:abstractNumId w:val="20"/>
  </w:num>
  <w:num w:numId="22">
    <w:abstractNumId w:val="5"/>
  </w:num>
  <w:num w:numId="23">
    <w:abstractNumId w:val="13"/>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0"/>
    <w:rsid w:val="0000205D"/>
    <w:rsid w:val="000142CE"/>
    <w:rsid w:val="00023DEF"/>
    <w:rsid w:val="00027F3E"/>
    <w:rsid w:val="000300CC"/>
    <w:rsid w:val="00031786"/>
    <w:rsid w:val="0003189A"/>
    <w:rsid w:val="00034224"/>
    <w:rsid w:val="00034366"/>
    <w:rsid w:val="00034CB4"/>
    <w:rsid w:val="000357F8"/>
    <w:rsid w:val="0004070F"/>
    <w:rsid w:val="0005390E"/>
    <w:rsid w:val="0005566E"/>
    <w:rsid w:val="00060483"/>
    <w:rsid w:val="000751A5"/>
    <w:rsid w:val="00075A5B"/>
    <w:rsid w:val="00075C4A"/>
    <w:rsid w:val="00081376"/>
    <w:rsid w:val="0008374B"/>
    <w:rsid w:val="000867E0"/>
    <w:rsid w:val="00090DA7"/>
    <w:rsid w:val="0009369D"/>
    <w:rsid w:val="0009747F"/>
    <w:rsid w:val="000A0AEE"/>
    <w:rsid w:val="000A4C0A"/>
    <w:rsid w:val="000B3EAD"/>
    <w:rsid w:val="000C390B"/>
    <w:rsid w:val="000C3DBC"/>
    <w:rsid w:val="000C46F8"/>
    <w:rsid w:val="000C51D1"/>
    <w:rsid w:val="000D3AAA"/>
    <w:rsid w:val="000D5E26"/>
    <w:rsid w:val="000E0EDF"/>
    <w:rsid w:val="000E706B"/>
    <w:rsid w:val="000F1556"/>
    <w:rsid w:val="000F17C1"/>
    <w:rsid w:val="00101690"/>
    <w:rsid w:val="0010231C"/>
    <w:rsid w:val="00102B4A"/>
    <w:rsid w:val="00104363"/>
    <w:rsid w:val="00107976"/>
    <w:rsid w:val="00113480"/>
    <w:rsid w:val="00115871"/>
    <w:rsid w:val="00117F29"/>
    <w:rsid w:val="00120292"/>
    <w:rsid w:val="00121118"/>
    <w:rsid w:val="00124AB8"/>
    <w:rsid w:val="00125A7A"/>
    <w:rsid w:val="00125E83"/>
    <w:rsid w:val="001357C2"/>
    <w:rsid w:val="0013667A"/>
    <w:rsid w:val="001372DA"/>
    <w:rsid w:val="00137305"/>
    <w:rsid w:val="00145D45"/>
    <w:rsid w:val="0014634C"/>
    <w:rsid w:val="001532CC"/>
    <w:rsid w:val="00155D22"/>
    <w:rsid w:val="001564BA"/>
    <w:rsid w:val="00157A34"/>
    <w:rsid w:val="001609A7"/>
    <w:rsid w:val="001661F2"/>
    <w:rsid w:val="001704C4"/>
    <w:rsid w:val="00173C06"/>
    <w:rsid w:val="00173E46"/>
    <w:rsid w:val="001806C5"/>
    <w:rsid w:val="00180DB3"/>
    <w:rsid w:val="001837C4"/>
    <w:rsid w:val="001866B0"/>
    <w:rsid w:val="00187092"/>
    <w:rsid w:val="00191026"/>
    <w:rsid w:val="00193146"/>
    <w:rsid w:val="001A2E27"/>
    <w:rsid w:val="001A723F"/>
    <w:rsid w:val="001C1EE8"/>
    <w:rsid w:val="001C3C52"/>
    <w:rsid w:val="001D4033"/>
    <w:rsid w:val="001D6D13"/>
    <w:rsid w:val="001D7D8B"/>
    <w:rsid w:val="001D7FC9"/>
    <w:rsid w:val="001E1712"/>
    <w:rsid w:val="001F04CF"/>
    <w:rsid w:val="001F0B10"/>
    <w:rsid w:val="001F258A"/>
    <w:rsid w:val="002009F9"/>
    <w:rsid w:val="002017F2"/>
    <w:rsid w:val="00201982"/>
    <w:rsid w:val="00205AF3"/>
    <w:rsid w:val="00206FCA"/>
    <w:rsid w:val="00210474"/>
    <w:rsid w:val="002127BD"/>
    <w:rsid w:val="00213930"/>
    <w:rsid w:val="00215304"/>
    <w:rsid w:val="00215790"/>
    <w:rsid w:val="00233EEB"/>
    <w:rsid w:val="002347F6"/>
    <w:rsid w:val="00244D37"/>
    <w:rsid w:val="00245F77"/>
    <w:rsid w:val="00252F1E"/>
    <w:rsid w:val="002531E2"/>
    <w:rsid w:val="00262300"/>
    <w:rsid w:val="00264B4E"/>
    <w:rsid w:val="002726B2"/>
    <w:rsid w:val="002727EB"/>
    <w:rsid w:val="00273A2B"/>
    <w:rsid w:val="00280304"/>
    <w:rsid w:val="00281809"/>
    <w:rsid w:val="0028334C"/>
    <w:rsid w:val="00290F13"/>
    <w:rsid w:val="00294183"/>
    <w:rsid w:val="002A0140"/>
    <w:rsid w:val="002A0801"/>
    <w:rsid w:val="002A7AF2"/>
    <w:rsid w:val="002B7194"/>
    <w:rsid w:val="002C1F95"/>
    <w:rsid w:val="002C2403"/>
    <w:rsid w:val="002C5928"/>
    <w:rsid w:val="002E1030"/>
    <w:rsid w:val="002E4524"/>
    <w:rsid w:val="002E4F78"/>
    <w:rsid w:val="002E6F08"/>
    <w:rsid w:val="002F211C"/>
    <w:rsid w:val="002F45C6"/>
    <w:rsid w:val="002F4C43"/>
    <w:rsid w:val="002F6948"/>
    <w:rsid w:val="002F77B4"/>
    <w:rsid w:val="00306237"/>
    <w:rsid w:val="003163B7"/>
    <w:rsid w:val="00321867"/>
    <w:rsid w:val="00321D53"/>
    <w:rsid w:val="0032664E"/>
    <w:rsid w:val="003269F9"/>
    <w:rsid w:val="00334AD5"/>
    <w:rsid w:val="00336425"/>
    <w:rsid w:val="003475FA"/>
    <w:rsid w:val="003622AD"/>
    <w:rsid w:val="00367E63"/>
    <w:rsid w:val="00370573"/>
    <w:rsid w:val="003736A3"/>
    <w:rsid w:val="00374981"/>
    <w:rsid w:val="0037611F"/>
    <w:rsid w:val="00384921"/>
    <w:rsid w:val="003861EE"/>
    <w:rsid w:val="00386F35"/>
    <w:rsid w:val="003939FB"/>
    <w:rsid w:val="00396101"/>
    <w:rsid w:val="00397741"/>
    <w:rsid w:val="003A0275"/>
    <w:rsid w:val="003A33B4"/>
    <w:rsid w:val="003A3A5B"/>
    <w:rsid w:val="003A3F4B"/>
    <w:rsid w:val="003B0827"/>
    <w:rsid w:val="003B13CC"/>
    <w:rsid w:val="003B3317"/>
    <w:rsid w:val="003C3444"/>
    <w:rsid w:val="003C44AB"/>
    <w:rsid w:val="003C6EA1"/>
    <w:rsid w:val="003D4812"/>
    <w:rsid w:val="003D6235"/>
    <w:rsid w:val="003E02F0"/>
    <w:rsid w:val="003E7E9C"/>
    <w:rsid w:val="004040F1"/>
    <w:rsid w:val="0041033C"/>
    <w:rsid w:val="004105F1"/>
    <w:rsid w:val="00413D4B"/>
    <w:rsid w:val="004143F7"/>
    <w:rsid w:val="00420378"/>
    <w:rsid w:val="00420874"/>
    <w:rsid w:val="0042230C"/>
    <w:rsid w:val="00431CEC"/>
    <w:rsid w:val="00433382"/>
    <w:rsid w:val="004343B9"/>
    <w:rsid w:val="00435380"/>
    <w:rsid w:val="00445C91"/>
    <w:rsid w:val="004540A3"/>
    <w:rsid w:val="00455B88"/>
    <w:rsid w:val="004636C5"/>
    <w:rsid w:val="004804C5"/>
    <w:rsid w:val="00480E56"/>
    <w:rsid w:val="00481FCD"/>
    <w:rsid w:val="00484DB0"/>
    <w:rsid w:val="00486C35"/>
    <w:rsid w:val="004A4B81"/>
    <w:rsid w:val="004B0EBA"/>
    <w:rsid w:val="004B5E34"/>
    <w:rsid w:val="004C0B9D"/>
    <w:rsid w:val="004C3DC2"/>
    <w:rsid w:val="004D0478"/>
    <w:rsid w:val="004D1406"/>
    <w:rsid w:val="004D7AEF"/>
    <w:rsid w:val="004E2B0F"/>
    <w:rsid w:val="004E33F1"/>
    <w:rsid w:val="004E6140"/>
    <w:rsid w:val="004F015C"/>
    <w:rsid w:val="004F191F"/>
    <w:rsid w:val="004F7E21"/>
    <w:rsid w:val="00505219"/>
    <w:rsid w:val="005072DD"/>
    <w:rsid w:val="0051202B"/>
    <w:rsid w:val="00516447"/>
    <w:rsid w:val="00516969"/>
    <w:rsid w:val="00520781"/>
    <w:rsid w:val="00521A13"/>
    <w:rsid w:val="00533900"/>
    <w:rsid w:val="00536934"/>
    <w:rsid w:val="00537D6D"/>
    <w:rsid w:val="0054123D"/>
    <w:rsid w:val="00542CFE"/>
    <w:rsid w:val="00543DB4"/>
    <w:rsid w:val="00560A3B"/>
    <w:rsid w:val="0057120C"/>
    <w:rsid w:val="00572CF5"/>
    <w:rsid w:val="00573305"/>
    <w:rsid w:val="00575302"/>
    <w:rsid w:val="0059400D"/>
    <w:rsid w:val="00594602"/>
    <w:rsid w:val="0059691A"/>
    <w:rsid w:val="00597488"/>
    <w:rsid w:val="005A5781"/>
    <w:rsid w:val="005A6B89"/>
    <w:rsid w:val="005A6E35"/>
    <w:rsid w:val="005A74A5"/>
    <w:rsid w:val="005B413D"/>
    <w:rsid w:val="005B704C"/>
    <w:rsid w:val="005C03E7"/>
    <w:rsid w:val="005C0C35"/>
    <w:rsid w:val="005C18A4"/>
    <w:rsid w:val="005C35B9"/>
    <w:rsid w:val="005C3F17"/>
    <w:rsid w:val="005C432B"/>
    <w:rsid w:val="005C6B2A"/>
    <w:rsid w:val="005C7031"/>
    <w:rsid w:val="005C7F17"/>
    <w:rsid w:val="005D3B19"/>
    <w:rsid w:val="005E34E8"/>
    <w:rsid w:val="005E711B"/>
    <w:rsid w:val="005F0F9E"/>
    <w:rsid w:val="005F3172"/>
    <w:rsid w:val="00602229"/>
    <w:rsid w:val="0060588B"/>
    <w:rsid w:val="0060668E"/>
    <w:rsid w:val="006077E4"/>
    <w:rsid w:val="006214C7"/>
    <w:rsid w:val="006226EC"/>
    <w:rsid w:val="00624090"/>
    <w:rsid w:val="0062435F"/>
    <w:rsid w:val="00625D3D"/>
    <w:rsid w:val="00631ABF"/>
    <w:rsid w:val="00632401"/>
    <w:rsid w:val="0064260C"/>
    <w:rsid w:val="006428D6"/>
    <w:rsid w:val="00643293"/>
    <w:rsid w:val="006518B8"/>
    <w:rsid w:val="00653257"/>
    <w:rsid w:val="006621CE"/>
    <w:rsid w:val="00664106"/>
    <w:rsid w:val="00674930"/>
    <w:rsid w:val="00676578"/>
    <w:rsid w:val="00681F03"/>
    <w:rsid w:val="006852C0"/>
    <w:rsid w:val="00687ED1"/>
    <w:rsid w:val="00693454"/>
    <w:rsid w:val="00696CD9"/>
    <w:rsid w:val="006A1BFB"/>
    <w:rsid w:val="006A387E"/>
    <w:rsid w:val="006A4986"/>
    <w:rsid w:val="006A5D54"/>
    <w:rsid w:val="006B11FA"/>
    <w:rsid w:val="006B56F0"/>
    <w:rsid w:val="006C40EB"/>
    <w:rsid w:val="006C4B58"/>
    <w:rsid w:val="006C5517"/>
    <w:rsid w:val="006D2B81"/>
    <w:rsid w:val="006D5506"/>
    <w:rsid w:val="006D6CB4"/>
    <w:rsid w:val="006E131C"/>
    <w:rsid w:val="006E40A9"/>
    <w:rsid w:val="006E55F2"/>
    <w:rsid w:val="006F3473"/>
    <w:rsid w:val="006F4B3E"/>
    <w:rsid w:val="006F556D"/>
    <w:rsid w:val="006F5DD4"/>
    <w:rsid w:val="0070004B"/>
    <w:rsid w:val="007016CB"/>
    <w:rsid w:val="0071093A"/>
    <w:rsid w:val="0071259B"/>
    <w:rsid w:val="00713BB0"/>
    <w:rsid w:val="00722CFD"/>
    <w:rsid w:val="007302BA"/>
    <w:rsid w:val="00731C32"/>
    <w:rsid w:val="0073265D"/>
    <w:rsid w:val="007501BB"/>
    <w:rsid w:val="00752BAD"/>
    <w:rsid w:val="00764161"/>
    <w:rsid w:val="007709A4"/>
    <w:rsid w:val="00772E45"/>
    <w:rsid w:val="00777A0A"/>
    <w:rsid w:val="00784271"/>
    <w:rsid w:val="00791A6F"/>
    <w:rsid w:val="007938F0"/>
    <w:rsid w:val="00793B68"/>
    <w:rsid w:val="007A0008"/>
    <w:rsid w:val="007A13FB"/>
    <w:rsid w:val="007B007C"/>
    <w:rsid w:val="007B0232"/>
    <w:rsid w:val="007B0823"/>
    <w:rsid w:val="007B0994"/>
    <w:rsid w:val="007B2C42"/>
    <w:rsid w:val="007B4229"/>
    <w:rsid w:val="007B5711"/>
    <w:rsid w:val="007B5DCD"/>
    <w:rsid w:val="007C18BD"/>
    <w:rsid w:val="007C59EC"/>
    <w:rsid w:val="007D13A1"/>
    <w:rsid w:val="007D68A9"/>
    <w:rsid w:val="007E7D85"/>
    <w:rsid w:val="007F187B"/>
    <w:rsid w:val="00803917"/>
    <w:rsid w:val="00803E40"/>
    <w:rsid w:val="008049A7"/>
    <w:rsid w:val="00820BCF"/>
    <w:rsid w:val="00825005"/>
    <w:rsid w:val="00831A5A"/>
    <w:rsid w:val="00834927"/>
    <w:rsid w:val="00834D81"/>
    <w:rsid w:val="00836163"/>
    <w:rsid w:val="00853325"/>
    <w:rsid w:val="0085531E"/>
    <w:rsid w:val="0086106D"/>
    <w:rsid w:val="008612CE"/>
    <w:rsid w:val="0086446C"/>
    <w:rsid w:val="00871C68"/>
    <w:rsid w:val="008721BE"/>
    <w:rsid w:val="008804E2"/>
    <w:rsid w:val="00882E69"/>
    <w:rsid w:val="008908CF"/>
    <w:rsid w:val="0089438A"/>
    <w:rsid w:val="00894564"/>
    <w:rsid w:val="0089775C"/>
    <w:rsid w:val="00897BC4"/>
    <w:rsid w:val="008A3FAC"/>
    <w:rsid w:val="008A458A"/>
    <w:rsid w:val="008A5E02"/>
    <w:rsid w:val="008B6632"/>
    <w:rsid w:val="008C288C"/>
    <w:rsid w:val="008D02EE"/>
    <w:rsid w:val="008D20D1"/>
    <w:rsid w:val="008E04DD"/>
    <w:rsid w:val="008E1589"/>
    <w:rsid w:val="008E272F"/>
    <w:rsid w:val="008F263A"/>
    <w:rsid w:val="008F4CDA"/>
    <w:rsid w:val="008F6181"/>
    <w:rsid w:val="008F6F3C"/>
    <w:rsid w:val="0090347D"/>
    <w:rsid w:val="00906049"/>
    <w:rsid w:val="0090775E"/>
    <w:rsid w:val="00907B27"/>
    <w:rsid w:val="009237C7"/>
    <w:rsid w:val="00925CF0"/>
    <w:rsid w:val="009345B2"/>
    <w:rsid w:val="009453A3"/>
    <w:rsid w:val="009534D5"/>
    <w:rsid w:val="0095356E"/>
    <w:rsid w:val="00961019"/>
    <w:rsid w:val="009715FD"/>
    <w:rsid w:val="009752DC"/>
    <w:rsid w:val="00980C18"/>
    <w:rsid w:val="00984AA2"/>
    <w:rsid w:val="00991059"/>
    <w:rsid w:val="0099381B"/>
    <w:rsid w:val="009A1EA4"/>
    <w:rsid w:val="009A1F44"/>
    <w:rsid w:val="009A4952"/>
    <w:rsid w:val="009A55DD"/>
    <w:rsid w:val="009A65C5"/>
    <w:rsid w:val="009A7F6F"/>
    <w:rsid w:val="009B1A1B"/>
    <w:rsid w:val="009B7FC2"/>
    <w:rsid w:val="009C01F2"/>
    <w:rsid w:val="009C1DE9"/>
    <w:rsid w:val="009C3C80"/>
    <w:rsid w:val="009D1631"/>
    <w:rsid w:val="009D1AEE"/>
    <w:rsid w:val="009D21D3"/>
    <w:rsid w:val="009D40E3"/>
    <w:rsid w:val="009D4424"/>
    <w:rsid w:val="009D4A8C"/>
    <w:rsid w:val="009E48AD"/>
    <w:rsid w:val="009F150C"/>
    <w:rsid w:val="009F7892"/>
    <w:rsid w:val="00A0163C"/>
    <w:rsid w:val="00A0196F"/>
    <w:rsid w:val="00A03890"/>
    <w:rsid w:val="00A0394D"/>
    <w:rsid w:val="00A1019B"/>
    <w:rsid w:val="00A1178E"/>
    <w:rsid w:val="00A1500E"/>
    <w:rsid w:val="00A15D38"/>
    <w:rsid w:val="00A26EF2"/>
    <w:rsid w:val="00A34F12"/>
    <w:rsid w:val="00A35946"/>
    <w:rsid w:val="00A36B4F"/>
    <w:rsid w:val="00A37967"/>
    <w:rsid w:val="00A401F5"/>
    <w:rsid w:val="00A41352"/>
    <w:rsid w:val="00A45552"/>
    <w:rsid w:val="00A502F8"/>
    <w:rsid w:val="00A50F2B"/>
    <w:rsid w:val="00A52AE0"/>
    <w:rsid w:val="00A5393D"/>
    <w:rsid w:val="00A550CC"/>
    <w:rsid w:val="00A70A42"/>
    <w:rsid w:val="00A71244"/>
    <w:rsid w:val="00A763E8"/>
    <w:rsid w:val="00A76864"/>
    <w:rsid w:val="00A76A81"/>
    <w:rsid w:val="00A8502C"/>
    <w:rsid w:val="00A96A47"/>
    <w:rsid w:val="00AA0C4F"/>
    <w:rsid w:val="00AB5861"/>
    <w:rsid w:val="00AC0F65"/>
    <w:rsid w:val="00AC14C8"/>
    <w:rsid w:val="00AC210E"/>
    <w:rsid w:val="00AC5322"/>
    <w:rsid w:val="00AD3EBA"/>
    <w:rsid w:val="00AD4E1D"/>
    <w:rsid w:val="00AD6635"/>
    <w:rsid w:val="00AD6AA8"/>
    <w:rsid w:val="00AE1DE3"/>
    <w:rsid w:val="00AE2C81"/>
    <w:rsid w:val="00AE5609"/>
    <w:rsid w:val="00AF2BBF"/>
    <w:rsid w:val="00AF5D60"/>
    <w:rsid w:val="00B0249E"/>
    <w:rsid w:val="00B05EF4"/>
    <w:rsid w:val="00B06754"/>
    <w:rsid w:val="00B10275"/>
    <w:rsid w:val="00B1296D"/>
    <w:rsid w:val="00B1465B"/>
    <w:rsid w:val="00B22CF3"/>
    <w:rsid w:val="00B2357F"/>
    <w:rsid w:val="00B255EC"/>
    <w:rsid w:val="00B27288"/>
    <w:rsid w:val="00B3504A"/>
    <w:rsid w:val="00B37392"/>
    <w:rsid w:val="00B406FA"/>
    <w:rsid w:val="00B4333E"/>
    <w:rsid w:val="00B43B2D"/>
    <w:rsid w:val="00B470E3"/>
    <w:rsid w:val="00B50169"/>
    <w:rsid w:val="00B511AD"/>
    <w:rsid w:val="00B554C3"/>
    <w:rsid w:val="00B66FCF"/>
    <w:rsid w:val="00B73D40"/>
    <w:rsid w:val="00B754D4"/>
    <w:rsid w:val="00B777B5"/>
    <w:rsid w:val="00B82BA6"/>
    <w:rsid w:val="00B83B53"/>
    <w:rsid w:val="00B85D38"/>
    <w:rsid w:val="00B91A5F"/>
    <w:rsid w:val="00B945AB"/>
    <w:rsid w:val="00B96BD2"/>
    <w:rsid w:val="00B96D53"/>
    <w:rsid w:val="00BA5EA8"/>
    <w:rsid w:val="00BB1D2F"/>
    <w:rsid w:val="00BB3D1D"/>
    <w:rsid w:val="00BB45D6"/>
    <w:rsid w:val="00BB5D74"/>
    <w:rsid w:val="00BC3B49"/>
    <w:rsid w:val="00BC5228"/>
    <w:rsid w:val="00BD1D1F"/>
    <w:rsid w:val="00BD4CA1"/>
    <w:rsid w:val="00BD7110"/>
    <w:rsid w:val="00BE2A34"/>
    <w:rsid w:val="00BE2AE7"/>
    <w:rsid w:val="00BE5B43"/>
    <w:rsid w:val="00BE6B5A"/>
    <w:rsid w:val="00BE7BE4"/>
    <w:rsid w:val="00BF0490"/>
    <w:rsid w:val="00BF16AB"/>
    <w:rsid w:val="00C022CB"/>
    <w:rsid w:val="00C03DC6"/>
    <w:rsid w:val="00C1408A"/>
    <w:rsid w:val="00C144BF"/>
    <w:rsid w:val="00C203DD"/>
    <w:rsid w:val="00C2199C"/>
    <w:rsid w:val="00C22824"/>
    <w:rsid w:val="00C24EB3"/>
    <w:rsid w:val="00C25A21"/>
    <w:rsid w:val="00C264A8"/>
    <w:rsid w:val="00C27906"/>
    <w:rsid w:val="00C359CC"/>
    <w:rsid w:val="00C36475"/>
    <w:rsid w:val="00C45A94"/>
    <w:rsid w:val="00C51442"/>
    <w:rsid w:val="00C518EB"/>
    <w:rsid w:val="00C551E9"/>
    <w:rsid w:val="00C55CF6"/>
    <w:rsid w:val="00C62F5F"/>
    <w:rsid w:val="00C63DB4"/>
    <w:rsid w:val="00C6431A"/>
    <w:rsid w:val="00C677B3"/>
    <w:rsid w:val="00C70BE1"/>
    <w:rsid w:val="00C73398"/>
    <w:rsid w:val="00C74261"/>
    <w:rsid w:val="00C770C4"/>
    <w:rsid w:val="00C90392"/>
    <w:rsid w:val="00C92A77"/>
    <w:rsid w:val="00C93AE1"/>
    <w:rsid w:val="00C97A7F"/>
    <w:rsid w:val="00CA71C7"/>
    <w:rsid w:val="00CB249B"/>
    <w:rsid w:val="00CB2EA0"/>
    <w:rsid w:val="00CB6C8F"/>
    <w:rsid w:val="00CC0FCA"/>
    <w:rsid w:val="00CC486D"/>
    <w:rsid w:val="00CC5882"/>
    <w:rsid w:val="00CC7899"/>
    <w:rsid w:val="00CD7DDD"/>
    <w:rsid w:val="00CE1FE7"/>
    <w:rsid w:val="00CE3E70"/>
    <w:rsid w:val="00CE5886"/>
    <w:rsid w:val="00CE5D03"/>
    <w:rsid w:val="00CE693E"/>
    <w:rsid w:val="00CE74C7"/>
    <w:rsid w:val="00CF10C0"/>
    <w:rsid w:val="00CF19D2"/>
    <w:rsid w:val="00CF3168"/>
    <w:rsid w:val="00CF4CE1"/>
    <w:rsid w:val="00CF6614"/>
    <w:rsid w:val="00D046A6"/>
    <w:rsid w:val="00D0774B"/>
    <w:rsid w:val="00D144A2"/>
    <w:rsid w:val="00D14CF8"/>
    <w:rsid w:val="00D15B0E"/>
    <w:rsid w:val="00D30976"/>
    <w:rsid w:val="00D42461"/>
    <w:rsid w:val="00D47B8D"/>
    <w:rsid w:val="00D53DAF"/>
    <w:rsid w:val="00D54767"/>
    <w:rsid w:val="00D556E9"/>
    <w:rsid w:val="00D55EAD"/>
    <w:rsid w:val="00D56036"/>
    <w:rsid w:val="00D71841"/>
    <w:rsid w:val="00D7307C"/>
    <w:rsid w:val="00D7670D"/>
    <w:rsid w:val="00D77408"/>
    <w:rsid w:val="00D8586F"/>
    <w:rsid w:val="00D90407"/>
    <w:rsid w:val="00D94321"/>
    <w:rsid w:val="00D95B61"/>
    <w:rsid w:val="00D974BB"/>
    <w:rsid w:val="00D975ED"/>
    <w:rsid w:val="00DA6881"/>
    <w:rsid w:val="00DB58DC"/>
    <w:rsid w:val="00DC2FB8"/>
    <w:rsid w:val="00DC7244"/>
    <w:rsid w:val="00DD0876"/>
    <w:rsid w:val="00DD3833"/>
    <w:rsid w:val="00DD6134"/>
    <w:rsid w:val="00DD73D9"/>
    <w:rsid w:val="00DE2176"/>
    <w:rsid w:val="00DE5CFE"/>
    <w:rsid w:val="00DF292E"/>
    <w:rsid w:val="00DF52B6"/>
    <w:rsid w:val="00E00584"/>
    <w:rsid w:val="00E10B7E"/>
    <w:rsid w:val="00E11F6E"/>
    <w:rsid w:val="00E14C28"/>
    <w:rsid w:val="00E21C77"/>
    <w:rsid w:val="00E24888"/>
    <w:rsid w:val="00E24956"/>
    <w:rsid w:val="00E2539E"/>
    <w:rsid w:val="00E27DC5"/>
    <w:rsid w:val="00E4154B"/>
    <w:rsid w:val="00E4196C"/>
    <w:rsid w:val="00E42A81"/>
    <w:rsid w:val="00E43EA3"/>
    <w:rsid w:val="00E512F1"/>
    <w:rsid w:val="00E571FE"/>
    <w:rsid w:val="00E64C5E"/>
    <w:rsid w:val="00E71A13"/>
    <w:rsid w:val="00E75D2E"/>
    <w:rsid w:val="00E85C7B"/>
    <w:rsid w:val="00E92E6B"/>
    <w:rsid w:val="00E9390C"/>
    <w:rsid w:val="00E95422"/>
    <w:rsid w:val="00E96C22"/>
    <w:rsid w:val="00E97C43"/>
    <w:rsid w:val="00EA454E"/>
    <w:rsid w:val="00EA78CF"/>
    <w:rsid w:val="00EB15D1"/>
    <w:rsid w:val="00EB74B8"/>
    <w:rsid w:val="00EE5AD6"/>
    <w:rsid w:val="00EF5036"/>
    <w:rsid w:val="00EF509D"/>
    <w:rsid w:val="00EF6CB9"/>
    <w:rsid w:val="00EF6DBD"/>
    <w:rsid w:val="00EF7535"/>
    <w:rsid w:val="00F05838"/>
    <w:rsid w:val="00F11C86"/>
    <w:rsid w:val="00F22148"/>
    <w:rsid w:val="00F26579"/>
    <w:rsid w:val="00F27D38"/>
    <w:rsid w:val="00F30995"/>
    <w:rsid w:val="00F31DB1"/>
    <w:rsid w:val="00F362E4"/>
    <w:rsid w:val="00F374B3"/>
    <w:rsid w:val="00F409B2"/>
    <w:rsid w:val="00F44793"/>
    <w:rsid w:val="00F46B57"/>
    <w:rsid w:val="00F51162"/>
    <w:rsid w:val="00F52B83"/>
    <w:rsid w:val="00F54BEB"/>
    <w:rsid w:val="00F569C7"/>
    <w:rsid w:val="00F628BA"/>
    <w:rsid w:val="00F64DEE"/>
    <w:rsid w:val="00F67B1B"/>
    <w:rsid w:val="00F67D19"/>
    <w:rsid w:val="00F71ED1"/>
    <w:rsid w:val="00F73560"/>
    <w:rsid w:val="00F86AC7"/>
    <w:rsid w:val="00F87770"/>
    <w:rsid w:val="00F923D7"/>
    <w:rsid w:val="00F92DA1"/>
    <w:rsid w:val="00FA0D03"/>
    <w:rsid w:val="00FA25C4"/>
    <w:rsid w:val="00FA2DB0"/>
    <w:rsid w:val="00FA37D2"/>
    <w:rsid w:val="00FC7DBB"/>
    <w:rsid w:val="00FD088A"/>
    <w:rsid w:val="00FD44AD"/>
    <w:rsid w:val="00FD720D"/>
    <w:rsid w:val="00FD7765"/>
    <w:rsid w:val="00FE4298"/>
    <w:rsid w:val="00FE49F6"/>
    <w:rsid w:val="00FF1D3F"/>
    <w:rsid w:val="00FF1F89"/>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F23E10"/>
  <w15:docId w15:val="{C3FD9505-58AC-4890-8EB0-72737270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876"/>
    <w:rPr>
      <w:sz w:val="24"/>
      <w:szCs w:val="24"/>
      <w:lang w:val="en-GB"/>
    </w:rPr>
  </w:style>
  <w:style w:type="paragraph" w:styleId="Titre1">
    <w:name w:val="heading 1"/>
    <w:basedOn w:val="Normal"/>
    <w:next w:val="Normal"/>
    <w:link w:val="Titre1Car"/>
    <w:qFormat/>
    <w:rsid w:val="00DD0876"/>
    <w:pPr>
      <w:keepNext/>
      <w:spacing w:line="300" w:lineRule="atLeast"/>
      <w:jc w:val="center"/>
      <w:outlineLvl w:val="0"/>
    </w:pPr>
    <w:rPr>
      <w:rFonts w:ascii="CG Times (PCL6)" w:hAnsi="CG Times (PCL6)"/>
      <w:b/>
      <w:bCs/>
      <w:snapToGrid w:val="0"/>
      <w:sz w:val="22"/>
      <w:szCs w:val="22"/>
    </w:rPr>
  </w:style>
  <w:style w:type="paragraph" w:styleId="Titre3">
    <w:name w:val="heading 3"/>
    <w:basedOn w:val="Normal"/>
    <w:next w:val="Normal"/>
    <w:qFormat/>
    <w:rsid w:val="00DD087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0876"/>
    <w:rPr>
      <w:color w:val="0000FF"/>
      <w:u w:val="single"/>
    </w:rPr>
  </w:style>
  <w:style w:type="paragraph" w:styleId="En-tte">
    <w:name w:val="header"/>
    <w:basedOn w:val="Normal"/>
    <w:rsid w:val="00DD0876"/>
    <w:pPr>
      <w:tabs>
        <w:tab w:val="center" w:pos="4536"/>
        <w:tab w:val="right" w:pos="9072"/>
      </w:tabs>
    </w:pPr>
    <w:rPr>
      <w:sz w:val="20"/>
      <w:szCs w:val="20"/>
    </w:rPr>
  </w:style>
  <w:style w:type="paragraph" w:styleId="Pieddepage">
    <w:name w:val="footer"/>
    <w:basedOn w:val="Normal"/>
    <w:link w:val="PieddepageCar"/>
    <w:rsid w:val="00DD0876"/>
    <w:pPr>
      <w:tabs>
        <w:tab w:val="center" w:pos="4536"/>
        <w:tab w:val="right" w:pos="9072"/>
      </w:tabs>
    </w:pPr>
  </w:style>
  <w:style w:type="character" w:styleId="Lienhypertextesuivivisit">
    <w:name w:val="FollowedHyperlink"/>
    <w:basedOn w:val="Policepardfaut"/>
    <w:rsid w:val="00DD0876"/>
    <w:rPr>
      <w:color w:val="800080"/>
      <w:u w:val="single"/>
    </w:rPr>
  </w:style>
  <w:style w:type="paragraph" w:styleId="Corpsdetexte">
    <w:name w:val="Body Text"/>
    <w:basedOn w:val="Normal"/>
    <w:rsid w:val="00DD0876"/>
    <w:pPr>
      <w:jc w:val="both"/>
    </w:pPr>
    <w:rPr>
      <w:rFonts w:ascii="Arial Narrow" w:hAnsi="Arial Narrow"/>
      <w:snapToGrid w:val="0"/>
      <w:sz w:val="22"/>
      <w:szCs w:val="22"/>
    </w:rPr>
  </w:style>
  <w:style w:type="paragraph" w:styleId="Retraitcorpsdetexte">
    <w:name w:val="Body Text Indent"/>
    <w:basedOn w:val="Normal"/>
    <w:rsid w:val="00DD0876"/>
    <w:pPr>
      <w:spacing w:after="120"/>
      <w:ind w:left="283"/>
    </w:pPr>
  </w:style>
  <w:style w:type="paragraph" w:styleId="Corpsdetexte3">
    <w:name w:val="Body Text 3"/>
    <w:basedOn w:val="Normal"/>
    <w:rsid w:val="00DD0876"/>
    <w:pPr>
      <w:spacing w:after="120"/>
    </w:pPr>
    <w:rPr>
      <w:sz w:val="16"/>
      <w:szCs w:val="16"/>
    </w:rPr>
  </w:style>
  <w:style w:type="paragraph" w:customStyle="1" w:styleId="Bulleted">
    <w:name w:val="Bulleted"/>
    <w:basedOn w:val="Normal"/>
    <w:autoRedefine/>
    <w:rsid w:val="00DD0876"/>
    <w:pPr>
      <w:numPr>
        <w:numId w:val="1"/>
      </w:numPr>
      <w:spacing w:after="60"/>
      <w:jc w:val="both"/>
    </w:pPr>
    <w:rPr>
      <w:rFonts w:ascii="LucidaT" w:hAnsi="LucidaT"/>
      <w:sz w:val="20"/>
      <w:szCs w:val="20"/>
      <w:lang w:val="fr-FR"/>
    </w:rPr>
  </w:style>
  <w:style w:type="paragraph" w:styleId="NormalWeb">
    <w:name w:val="Normal (Web)"/>
    <w:basedOn w:val="Normal"/>
    <w:rsid w:val="00DD0876"/>
    <w:pPr>
      <w:spacing w:before="150" w:line="348" w:lineRule="auto"/>
    </w:pPr>
    <w:rPr>
      <w:lang w:val="fr-FR"/>
    </w:rPr>
  </w:style>
  <w:style w:type="paragraph" w:styleId="Notedebasdepage">
    <w:name w:val="footnote text"/>
    <w:aliases w:val="Char, Char"/>
    <w:basedOn w:val="Normal"/>
    <w:link w:val="NotedebasdepageCar"/>
    <w:qFormat/>
    <w:rsid w:val="00D556E9"/>
    <w:rPr>
      <w:sz w:val="20"/>
      <w:szCs w:val="20"/>
    </w:rPr>
  </w:style>
  <w:style w:type="character" w:styleId="Appelnotedebasdep">
    <w:name w:val="footnote reference"/>
    <w:basedOn w:val="Policepardfaut"/>
    <w:rsid w:val="00D556E9"/>
    <w:rPr>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customStyle="1" w:styleId="PieddepageCar">
    <w:name w:val="Pied de page Car"/>
    <w:link w:val="Pieddepage"/>
    <w:rsid w:val="00117F29"/>
    <w:rPr>
      <w:sz w:val="24"/>
      <w:szCs w:val="24"/>
      <w:lang w:val="en-GB"/>
    </w:rPr>
  </w:style>
  <w:style w:type="character" w:customStyle="1" w:styleId="Titre1Car">
    <w:name w:val="Titre 1 Car"/>
    <w:basedOn w:val="Policepardfaut"/>
    <w:link w:val="Titre1"/>
    <w:rsid w:val="003269F9"/>
    <w:rPr>
      <w:rFonts w:ascii="CG Times (PCL6)" w:hAnsi="CG Times (PCL6)"/>
      <w:b/>
      <w:bCs/>
      <w:snapToGrid w:val="0"/>
      <w:sz w:val="22"/>
      <w:szCs w:val="22"/>
      <w:lang w:val="en-GB"/>
    </w:rPr>
  </w:style>
  <w:style w:type="character" w:styleId="Marquedecommentaire">
    <w:name w:val="annotation reference"/>
    <w:basedOn w:val="Policepardfaut"/>
    <w:unhideWhenUsed/>
    <w:rsid w:val="00772E45"/>
    <w:rPr>
      <w:sz w:val="16"/>
      <w:szCs w:val="16"/>
    </w:rPr>
  </w:style>
  <w:style w:type="paragraph" w:styleId="Commentaire">
    <w:name w:val="annotation text"/>
    <w:basedOn w:val="Normal"/>
    <w:link w:val="CommentaireCar"/>
    <w:unhideWhenUsed/>
    <w:rsid w:val="00772E45"/>
    <w:pPr>
      <w:tabs>
        <w:tab w:val="left" w:pos="709"/>
      </w:tabs>
      <w:spacing w:after="240" w:line="312" w:lineRule="auto"/>
      <w:jc w:val="both"/>
    </w:pPr>
    <w:rPr>
      <w:rFonts w:ascii="Calibri" w:eastAsiaTheme="minorHAnsi" w:hAnsi="Calibri" w:cstheme="minorBidi"/>
      <w:sz w:val="22"/>
      <w:szCs w:val="22"/>
      <w:lang w:eastAsia="en-US"/>
    </w:rPr>
  </w:style>
  <w:style w:type="character" w:customStyle="1" w:styleId="CommentaireCar">
    <w:name w:val="Commentaire Car"/>
    <w:basedOn w:val="Policepardfaut"/>
    <w:link w:val="Commentaire"/>
    <w:rsid w:val="00772E45"/>
    <w:rPr>
      <w:rFonts w:ascii="Calibri" w:eastAsiaTheme="minorHAnsi" w:hAnsi="Calibri" w:cstheme="minorBidi"/>
      <w:sz w:val="22"/>
      <w:szCs w:val="22"/>
      <w:lang w:val="en-GB" w:eastAsia="en-US"/>
    </w:rPr>
  </w:style>
  <w:style w:type="paragraph" w:styleId="Textedebulles">
    <w:name w:val="Balloon Text"/>
    <w:basedOn w:val="Normal"/>
    <w:link w:val="TextedebullesCar"/>
    <w:rsid w:val="00772E45"/>
    <w:rPr>
      <w:rFonts w:ascii="Tahoma" w:hAnsi="Tahoma" w:cs="Tahoma"/>
      <w:sz w:val="16"/>
      <w:szCs w:val="16"/>
    </w:rPr>
  </w:style>
  <w:style w:type="character" w:customStyle="1" w:styleId="TextedebullesCar">
    <w:name w:val="Texte de bulles Car"/>
    <w:basedOn w:val="Policepardfaut"/>
    <w:link w:val="Textedebulles"/>
    <w:rsid w:val="00772E45"/>
    <w:rPr>
      <w:rFonts w:ascii="Tahoma" w:hAnsi="Tahoma" w:cs="Tahoma"/>
      <w:sz w:val="16"/>
      <w:szCs w:val="16"/>
      <w:lang w:val="en-GB"/>
    </w:rPr>
  </w:style>
  <w:style w:type="paragraph" w:styleId="Paragraphedeliste">
    <w:name w:val="List Paragraph"/>
    <w:basedOn w:val="Normal"/>
    <w:uiPriority w:val="34"/>
    <w:qFormat/>
    <w:rsid w:val="005B413D"/>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paragraph" w:styleId="Objetducommentaire">
    <w:name w:val="annotation subject"/>
    <w:basedOn w:val="Commentaire"/>
    <w:next w:val="Commentaire"/>
    <w:link w:val="ObjetducommentaireCar"/>
    <w:semiHidden/>
    <w:unhideWhenUsed/>
    <w:rsid w:val="00C92A77"/>
    <w:pPr>
      <w:tabs>
        <w:tab w:val="clear" w:pos="709"/>
      </w:tabs>
      <w:spacing w:after="0" w:line="240" w:lineRule="auto"/>
      <w:jc w:val="left"/>
    </w:pPr>
    <w:rPr>
      <w:rFonts w:ascii="Times New Roman" w:eastAsia="Times New Roman" w:hAnsi="Times New Roman" w:cs="Times New Roman"/>
      <w:b/>
      <w:bCs/>
      <w:sz w:val="20"/>
      <w:szCs w:val="20"/>
      <w:lang w:eastAsia="fr-FR"/>
    </w:rPr>
  </w:style>
  <w:style w:type="character" w:customStyle="1" w:styleId="ObjetducommentaireCar">
    <w:name w:val="Objet du commentaire Car"/>
    <w:basedOn w:val="CommentaireCar"/>
    <w:link w:val="Objetducommentaire"/>
    <w:semiHidden/>
    <w:rsid w:val="00C92A77"/>
    <w:rPr>
      <w:rFonts w:ascii="Calibri" w:eastAsiaTheme="minorHAnsi" w:hAnsi="Calibri" w:cstheme="minorBidi"/>
      <w:b/>
      <w:bCs/>
      <w:sz w:val="22"/>
      <w:szCs w:val="22"/>
      <w:lang w:val="en-GB" w:eastAsia="en-US"/>
    </w:rPr>
  </w:style>
  <w:style w:type="paragraph" w:styleId="Rvision">
    <w:name w:val="Revision"/>
    <w:hidden/>
    <w:uiPriority w:val="99"/>
    <w:semiHidden/>
    <w:rsid w:val="00C92A77"/>
    <w:rPr>
      <w:sz w:val="24"/>
      <w:szCs w:val="24"/>
      <w:lang w:val="en-GB"/>
    </w:rPr>
  </w:style>
  <w:style w:type="character" w:customStyle="1" w:styleId="apple-converted-space">
    <w:name w:val="apple-converted-space"/>
    <w:basedOn w:val="Policepardfaut"/>
    <w:rsid w:val="0060668E"/>
  </w:style>
  <w:style w:type="paragraph" w:customStyle="1" w:styleId="amundibasictext">
    <w:name w:val="amundibasictext"/>
    <w:basedOn w:val="Normal"/>
    <w:rsid w:val="000A4C0A"/>
    <w:pPr>
      <w:spacing w:before="120" w:after="120" w:line="220" w:lineRule="atLeast"/>
      <w:jc w:val="both"/>
    </w:pPr>
    <w:rPr>
      <w:rFonts w:ascii="Arial" w:eastAsiaTheme="minorEastAsia" w:hAnsi="Arial" w:cs="Arial"/>
      <w:color w:val="000000"/>
      <w:sz w:val="20"/>
      <w:szCs w:val="20"/>
      <w:lang w:val="fr-FR" w:eastAsia="zh-TW"/>
    </w:rPr>
  </w:style>
  <w:style w:type="character" w:customStyle="1" w:styleId="NotedebasdepageCar">
    <w:name w:val="Note de bas de page Car"/>
    <w:aliases w:val="Char Car, Char Car"/>
    <w:basedOn w:val="Policepardfaut"/>
    <w:link w:val="Notedebasdepage"/>
    <w:rsid w:val="00B91A5F"/>
    <w:rPr>
      <w:lang w:val="en-GB"/>
    </w:rPr>
  </w:style>
  <w:style w:type="character" w:styleId="lev">
    <w:name w:val="Strong"/>
    <w:basedOn w:val="Policepardfaut"/>
    <w:uiPriority w:val="22"/>
    <w:qFormat/>
    <w:rsid w:val="00B91A5F"/>
    <w:rPr>
      <w:b/>
      <w:bCs/>
    </w:rPr>
  </w:style>
  <w:style w:type="paragraph" w:customStyle="1" w:styleId="wordsection1">
    <w:name w:val="wordsection1"/>
    <w:basedOn w:val="Normal"/>
    <w:uiPriority w:val="99"/>
    <w:rsid w:val="00AB5861"/>
    <w:pPr>
      <w:spacing w:before="100" w:beforeAutospacing="1" w:after="100" w:afterAutospacing="1"/>
    </w:pPr>
    <w:rPr>
      <w:rFonts w:eastAsiaTheme="minorHAnsi"/>
      <w:lang w:val="fr-F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0737">
      <w:bodyDiv w:val="1"/>
      <w:marLeft w:val="0"/>
      <w:marRight w:val="0"/>
      <w:marTop w:val="0"/>
      <w:marBottom w:val="0"/>
      <w:divBdr>
        <w:top w:val="none" w:sz="0" w:space="0" w:color="auto"/>
        <w:left w:val="none" w:sz="0" w:space="0" w:color="auto"/>
        <w:bottom w:val="none" w:sz="0" w:space="0" w:color="auto"/>
        <w:right w:val="none" w:sz="0" w:space="0" w:color="auto"/>
      </w:divBdr>
      <w:divsChild>
        <w:div w:id="1409577872">
          <w:marLeft w:val="0"/>
          <w:marRight w:val="0"/>
          <w:marTop w:val="0"/>
          <w:marBottom w:val="0"/>
          <w:divBdr>
            <w:top w:val="none" w:sz="0" w:space="0" w:color="auto"/>
            <w:left w:val="none" w:sz="0" w:space="0" w:color="auto"/>
            <w:bottom w:val="none" w:sz="0" w:space="0" w:color="auto"/>
            <w:right w:val="none" w:sz="0" w:space="0" w:color="auto"/>
          </w:divBdr>
        </w:div>
      </w:divsChild>
    </w:div>
    <w:div w:id="93013987">
      <w:bodyDiv w:val="1"/>
      <w:marLeft w:val="0"/>
      <w:marRight w:val="0"/>
      <w:marTop w:val="0"/>
      <w:marBottom w:val="0"/>
      <w:divBdr>
        <w:top w:val="none" w:sz="0" w:space="0" w:color="auto"/>
        <w:left w:val="none" w:sz="0" w:space="0" w:color="auto"/>
        <w:bottom w:val="none" w:sz="0" w:space="0" w:color="auto"/>
        <w:right w:val="none" w:sz="0" w:space="0" w:color="auto"/>
      </w:divBdr>
      <w:divsChild>
        <w:div w:id="446896176">
          <w:marLeft w:val="0"/>
          <w:marRight w:val="0"/>
          <w:marTop w:val="0"/>
          <w:marBottom w:val="0"/>
          <w:divBdr>
            <w:top w:val="none" w:sz="0" w:space="0" w:color="auto"/>
            <w:left w:val="none" w:sz="0" w:space="0" w:color="auto"/>
            <w:bottom w:val="none" w:sz="0" w:space="0" w:color="auto"/>
            <w:right w:val="none" w:sz="0" w:space="0" w:color="auto"/>
          </w:divBdr>
          <w:divsChild>
            <w:div w:id="18707598">
              <w:marLeft w:val="0"/>
              <w:marRight w:val="0"/>
              <w:marTop w:val="0"/>
              <w:marBottom w:val="0"/>
              <w:divBdr>
                <w:top w:val="none" w:sz="0" w:space="0" w:color="auto"/>
                <w:left w:val="none" w:sz="0" w:space="0" w:color="auto"/>
                <w:bottom w:val="none" w:sz="0" w:space="0" w:color="auto"/>
                <w:right w:val="none" w:sz="0" w:space="0" w:color="auto"/>
              </w:divBdr>
            </w:div>
            <w:div w:id="554125681">
              <w:marLeft w:val="0"/>
              <w:marRight w:val="0"/>
              <w:marTop w:val="0"/>
              <w:marBottom w:val="0"/>
              <w:divBdr>
                <w:top w:val="none" w:sz="0" w:space="0" w:color="auto"/>
                <w:left w:val="none" w:sz="0" w:space="0" w:color="auto"/>
                <w:bottom w:val="none" w:sz="0" w:space="0" w:color="auto"/>
                <w:right w:val="none" w:sz="0" w:space="0" w:color="auto"/>
              </w:divBdr>
            </w:div>
            <w:div w:id="1112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373">
      <w:bodyDiv w:val="1"/>
      <w:marLeft w:val="0"/>
      <w:marRight w:val="0"/>
      <w:marTop w:val="0"/>
      <w:marBottom w:val="0"/>
      <w:divBdr>
        <w:top w:val="none" w:sz="0" w:space="0" w:color="auto"/>
        <w:left w:val="none" w:sz="0" w:space="0" w:color="auto"/>
        <w:bottom w:val="none" w:sz="0" w:space="0" w:color="auto"/>
        <w:right w:val="none" w:sz="0" w:space="0" w:color="auto"/>
      </w:divBdr>
      <w:divsChild>
        <w:div w:id="1476675382">
          <w:marLeft w:val="0"/>
          <w:marRight w:val="0"/>
          <w:marTop w:val="0"/>
          <w:marBottom w:val="0"/>
          <w:divBdr>
            <w:top w:val="none" w:sz="0" w:space="0" w:color="auto"/>
            <w:left w:val="none" w:sz="0" w:space="0" w:color="auto"/>
            <w:bottom w:val="none" w:sz="0" w:space="0" w:color="auto"/>
            <w:right w:val="none" w:sz="0" w:space="0" w:color="auto"/>
          </w:divBdr>
          <w:divsChild>
            <w:div w:id="3792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675">
      <w:bodyDiv w:val="1"/>
      <w:marLeft w:val="0"/>
      <w:marRight w:val="0"/>
      <w:marTop w:val="0"/>
      <w:marBottom w:val="0"/>
      <w:divBdr>
        <w:top w:val="none" w:sz="0" w:space="0" w:color="auto"/>
        <w:left w:val="none" w:sz="0" w:space="0" w:color="auto"/>
        <w:bottom w:val="none" w:sz="0" w:space="0" w:color="auto"/>
        <w:right w:val="none" w:sz="0" w:space="0" w:color="auto"/>
      </w:divBdr>
    </w:div>
    <w:div w:id="174854309">
      <w:bodyDiv w:val="1"/>
      <w:marLeft w:val="0"/>
      <w:marRight w:val="0"/>
      <w:marTop w:val="0"/>
      <w:marBottom w:val="0"/>
      <w:divBdr>
        <w:top w:val="none" w:sz="0" w:space="0" w:color="auto"/>
        <w:left w:val="none" w:sz="0" w:space="0" w:color="auto"/>
        <w:bottom w:val="none" w:sz="0" w:space="0" w:color="auto"/>
        <w:right w:val="none" w:sz="0" w:space="0" w:color="auto"/>
      </w:divBdr>
    </w:div>
    <w:div w:id="279193051">
      <w:bodyDiv w:val="1"/>
      <w:marLeft w:val="0"/>
      <w:marRight w:val="0"/>
      <w:marTop w:val="0"/>
      <w:marBottom w:val="0"/>
      <w:divBdr>
        <w:top w:val="none" w:sz="0" w:space="0" w:color="auto"/>
        <w:left w:val="none" w:sz="0" w:space="0" w:color="auto"/>
        <w:bottom w:val="none" w:sz="0" w:space="0" w:color="auto"/>
        <w:right w:val="none" w:sz="0" w:space="0" w:color="auto"/>
      </w:divBdr>
      <w:divsChild>
        <w:div w:id="465584593">
          <w:marLeft w:val="0"/>
          <w:marRight w:val="0"/>
          <w:marTop w:val="0"/>
          <w:marBottom w:val="0"/>
          <w:divBdr>
            <w:top w:val="none" w:sz="0" w:space="0" w:color="auto"/>
            <w:left w:val="none" w:sz="0" w:space="0" w:color="auto"/>
            <w:bottom w:val="none" w:sz="0" w:space="0" w:color="auto"/>
            <w:right w:val="none" w:sz="0" w:space="0" w:color="auto"/>
          </w:divBdr>
        </w:div>
      </w:divsChild>
    </w:div>
    <w:div w:id="377322239">
      <w:bodyDiv w:val="1"/>
      <w:marLeft w:val="0"/>
      <w:marRight w:val="0"/>
      <w:marTop w:val="0"/>
      <w:marBottom w:val="0"/>
      <w:divBdr>
        <w:top w:val="none" w:sz="0" w:space="0" w:color="auto"/>
        <w:left w:val="none" w:sz="0" w:space="0" w:color="auto"/>
        <w:bottom w:val="none" w:sz="0" w:space="0" w:color="auto"/>
        <w:right w:val="none" w:sz="0" w:space="0" w:color="auto"/>
      </w:divBdr>
      <w:divsChild>
        <w:div w:id="1406104218">
          <w:marLeft w:val="0"/>
          <w:marRight w:val="0"/>
          <w:marTop w:val="0"/>
          <w:marBottom w:val="0"/>
          <w:divBdr>
            <w:top w:val="none" w:sz="0" w:space="0" w:color="auto"/>
            <w:left w:val="none" w:sz="0" w:space="0" w:color="auto"/>
            <w:bottom w:val="none" w:sz="0" w:space="0" w:color="auto"/>
            <w:right w:val="none" w:sz="0" w:space="0" w:color="auto"/>
          </w:divBdr>
        </w:div>
      </w:divsChild>
    </w:div>
    <w:div w:id="446703266">
      <w:bodyDiv w:val="1"/>
      <w:marLeft w:val="0"/>
      <w:marRight w:val="0"/>
      <w:marTop w:val="0"/>
      <w:marBottom w:val="0"/>
      <w:divBdr>
        <w:top w:val="none" w:sz="0" w:space="0" w:color="auto"/>
        <w:left w:val="none" w:sz="0" w:space="0" w:color="auto"/>
        <w:bottom w:val="none" w:sz="0" w:space="0" w:color="auto"/>
        <w:right w:val="none" w:sz="0" w:space="0" w:color="auto"/>
      </w:divBdr>
      <w:divsChild>
        <w:div w:id="349992288">
          <w:marLeft w:val="0"/>
          <w:marRight w:val="0"/>
          <w:marTop w:val="0"/>
          <w:marBottom w:val="0"/>
          <w:divBdr>
            <w:top w:val="none" w:sz="0" w:space="0" w:color="auto"/>
            <w:left w:val="none" w:sz="0" w:space="0" w:color="auto"/>
            <w:bottom w:val="single" w:sz="8" w:space="2" w:color="000000"/>
            <w:right w:val="none" w:sz="0" w:space="0" w:color="auto"/>
          </w:divBdr>
        </w:div>
        <w:div w:id="1748334290">
          <w:marLeft w:val="0"/>
          <w:marRight w:val="0"/>
          <w:marTop w:val="0"/>
          <w:marBottom w:val="0"/>
          <w:divBdr>
            <w:top w:val="none" w:sz="0" w:space="0" w:color="auto"/>
            <w:left w:val="none" w:sz="0" w:space="0" w:color="auto"/>
            <w:bottom w:val="single" w:sz="8" w:space="2" w:color="000000"/>
            <w:right w:val="none" w:sz="0" w:space="0" w:color="auto"/>
          </w:divBdr>
        </w:div>
        <w:div w:id="1882083868">
          <w:marLeft w:val="0"/>
          <w:marRight w:val="0"/>
          <w:marTop w:val="0"/>
          <w:marBottom w:val="0"/>
          <w:divBdr>
            <w:top w:val="none" w:sz="0" w:space="0" w:color="auto"/>
            <w:left w:val="none" w:sz="0" w:space="0" w:color="auto"/>
            <w:bottom w:val="single" w:sz="8" w:space="2" w:color="000000"/>
            <w:right w:val="none" w:sz="0" w:space="0" w:color="auto"/>
          </w:divBdr>
        </w:div>
      </w:divsChild>
    </w:div>
    <w:div w:id="777872782">
      <w:bodyDiv w:val="1"/>
      <w:marLeft w:val="0"/>
      <w:marRight w:val="0"/>
      <w:marTop w:val="0"/>
      <w:marBottom w:val="0"/>
      <w:divBdr>
        <w:top w:val="none" w:sz="0" w:space="0" w:color="auto"/>
        <w:left w:val="none" w:sz="0" w:space="0" w:color="auto"/>
        <w:bottom w:val="none" w:sz="0" w:space="0" w:color="auto"/>
        <w:right w:val="none" w:sz="0" w:space="0" w:color="auto"/>
      </w:divBdr>
      <w:divsChild>
        <w:div w:id="861164611">
          <w:marLeft w:val="0"/>
          <w:marRight w:val="0"/>
          <w:marTop w:val="0"/>
          <w:marBottom w:val="0"/>
          <w:divBdr>
            <w:top w:val="none" w:sz="0" w:space="0" w:color="auto"/>
            <w:left w:val="none" w:sz="0" w:space="0" w:color="auto"/>
            <w:bottom w:val="none" w:sz="0" w:space="0" w:color="auto"/>
            <w:right w:val="none" w:sz="0" w:space="0" w:color="auto"/>
          </w:divBdr>
        </w:div>
      </w:divsChild>
    </w:div>
    <w:div w:id="853300870">
      <w:bodyDiv w:val="1"/>
      <w:marLeft w:val="0"/>
      <w:marRight w:val="0"/>
      <w:marTop w:val="0"/>
      <w:marBottom w:val="0"/>
      <w:divBdr>
        <w:top w:val="none" w:sz="0" w:space="0" w:color="auto"/>
        <w:left w:val="none" w:sz="0" w:space="0" w:color="auto"/>
        <w:bottom w:val="none" w:sz="0" w:space="0" w:color="auto"/>
        <w:right w:val="none" w:sz="0" w:space="0" w:color="auto"/>
      </w:divBdr>
    </w:div>
    <w:div w:id="856843250">
      <w:bodyDiv w:val="1"/>
      <w:marLeft w:val="0"/>
      <w:marRight w:val="0"/>
      <w:marTop w:val="0"/>
      <w:marBottom w:val="0"/>
      <w:divBdr>
        <w:top w:val="none" w:sz="0" w:space="0" w:color="auto"/>
        <w:left w:val="none" w:sz="0" w:space="0" w:color="auto"/>
        <w:bottom w:val="none" w:sz="0" w:space="0" w:color="auto"/>
        <w:right w:val="none" w:sz="0" w:space="0" w:color="auto"/>
      </w:divBdr>
      <w:divsChild>
        <w:div w:id="1126041371">
          <w:marLeft w:val="0"/>
          <w:marRight w:val="0"/>
          <w:marTop w:val="0"/>
          <w:marBottom w:val="0"/>
          <w:divBdr>
            <w:top w:val="none" w:sz="0" w:space="0" w:color="auto"/>
            <w:left w:val="none" w:sz="0" w:space="0" w:color="auto"/>
            <w:bottom w:val="none" w:sz="0" w:space="0" w:color="auto"/>
            <w:right w:val="none" w:sz="0" w:space="0" w:color="auto"/>
          </w:divBdr>
        </w:div>
      </w:divsChild>
    </w:div>
    <w:div w:id="885337621">
      <w:bodyDiv w:val="1"/>
      <w:marLeft w:val="0"/>
      <w:marRight w:val="0"/>
      <w:marTop w:val="0"/>
      <w:marBottom w:val="0"/>
      <w:divBdr>
        <w:top w:val="none" w:sz="0" w:space="0" w:color="auto"/>
        <w:left w:val="none" w:sz="0" w:space="0" w:color="auto"/>
        <w:bottom w:val="none" w:sz="0" w:space="0" w:color="auto"/>
        <w:right w:val="none" w:sz="0" w:space="0" w:color="auto"/>
      </w:divBdr>
    </w:div>
    <w:div w:id="1052079964">
      <w:bodyDiv w:val="1"/>
      <w:marLeft w:val="0"/>
      <w:marRight w:val="0"/>
      <w:marTop w:val="0"/>
      <w:marBottom w:val="0"/>
      <w:divBdr>
        <w:top w:val="none" w:sz="0" w:space="0" w:color="auto"/>
        <w:left w:val="none" w:sz="0" w:space="0" w:color="auto"/>
        <w:bottom w:val="none" w:sz="0" w:space="0" w:color="auto"/>
        <w:right w:val="none" w:sz="0" w:space="0" w:color="auto"/>
      </w:divBdr>
    </w:div>
    <w:div w:id="1067385119">
      <w:bodyDiv w:val="1"/>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0"/>
          <w:marRight w:val="0"/>
          <w:marTop w:val="0"/>
          <w:marBottom w:val="0"/>
          <w:divBdr>
            <w:top w:val="none" w:sz="0" w:space="0" w:color="auto"/>
            <w:left w:val="none" w:sz="0" w:space="0" w:color="auto"/>
            <w:bottom w:val="none" w:sz="0" w:space="0" w:color="auto"/>
            <w:right w:val="none" w:sz="0" w:space="0" w:color="auto"/>
          </w:divBdr>
          <w:divsChild>
            <w:div w:id="275213334">
              <w:marLeft w:val="0"/>
              <w:marRight w:val="0"/>
              <w:marTop w:val="0"/>
              <w:marBottom w:val="0"/>
              <w:divBdr>
                <w:top w:val="none" w:sz="0" w:space="0" w:color="auto"/>
                <w:left w:val="none" w:sz="0" w:space="0" w:color="auto"/>
                <w:bottom w:val="none" w:sz="0" w:space="0" w:color="auto"/>
                <w:right w:val="none" w:sz="0" w:space="0" w:color="auto"/>
              </w:divBdr>
            </w:div>
            <w:div w:id="771324062">
              <w:marLeft w:val="0"/>
              <w:marRight w:val="0"/>
              <w:marTop w:val="0"/>
              <w:marBottom w:val="0"/>
              <w:divBdr>
                <w:top w:val="none" w:sz="0" w:space="0" w:color="auto"/>
                <w:left w:val="none" w:sz="0" w:space="0" w:color="auto"/>
                <w:bottom w:val="none" w:sz="0" w:space="0" w:color="auto"/>
                <w:right w:val="none" w:sz="0" w:space="0" w:color="auto"/>
              </w:divBdr>
            </w:div>
            <w:div w:id="1127940142">
              <w:marLeft w:val="0"/>
              <w:marRight w:val="0"/>
              <w:marTop w:val="0"/>
              <w:marBottom w:val="0"/>
              <w:divBdr>
                <w:top w:val="none" w:sz="0" w:space="0" w:color="auto"/>
                <w:left w:val="none" w:sz="0" w:space="0" w:color="auto"/>
                <w:bottom w:val="none" w:sz="0" w:space="0" w:color="auto"/>
                <w:right w:val="none" w:sz="0" w:space="0" w:color="auto"/>
              </w:divBdr>
            </w:div>
            <w:div w:id="1549024523">
              <w:marLeft w:val="0"/>
              <w:marRight w:val="0"/>
              <w:marTop w:val="0"/>
              <w:marBottom w:val="0"/>
              <w:divBdr>
                <w:top w:val="none" w:sz="0" w:space="0" w:color="auto"/>
                <w:left w:val="none" w:sz="0" w:space="0" w:color="auto"/>
                <w:bottom w:val="none" w:sz="0" w:space="0" w:color="auto"/>
                <w:right w:val="none" w:sz="0" w:space="0" w:color="auto"/>
              </w:divBdr>
            </w:div>
            <w:div w:id="1703435443">
              <w:marLeft w:val="0"/>
              <w:marRight w:val="0"/>
              <w:marTop w:val="0"/>
              <w:marBottom w:val="0"/>
              <w:divBdr>
                <w:top w:val="none" w:sz="0" w:space="0" w:color="auto"/>
                <w:left w:val="none" w:sz="0" w:space="0" w:color="auto"/>
                <w:bottom w:val="none" w:sz="0" w:space="0" w:color="auto"/>
                <w:right w:val="none" w:sz="0" w:space="0" w:color="auto"/>
              </w:divBdr>
            </w:div>
            <w:div w:id="1988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6">
      <w:bodyDiv w:val="1"/>
      <w:marLeft w:val="0"/>
      <w:marRight w:val="0"/>
      <w:marTop w:val="0"/>
      <w:marBottom w:val="0"/>
      <w:divBdr>
        <w:top w:val="none" w:sz="0" w:space="0" w:color="auto"/>
        <w:left w:val="none" w:sz="0" w:space="0" w:color="auto"/>
        <w:bottom w:val="none" w:sz="0" w:space="0" w:color="auto"/>
        <w:right w:val="none" w:sz="0" w:space="0" w:color="auto"/>
      </w:divBdr>
      <w:divsChild>
        <w:div w:id="2060203500">
          <w:marLeft w:val="0"/>
          <w:marRight w:val="0"/>
          <w:marTop w:val="0"/>
          <w:marBottom w:val="0"/>
          <w:divBdr>
            <w:top w:val="none" w:sz="0" w:space="0" w:color="auto"/>
            <w:left w:val="none" w:sz="0" w:space="0" w:color="auto"/>
            <w:bottom w:val="none" w:sz="0" w:space="0" w:color="auto"/>
            <w:right w:val="none" w:sz="0" w:space="0" w:color="auto"/>
          </w:divBdr>
          <w:divsChild>
            <w:div w:id="346831308">
              <w:marLeft w:val="0"/>
              <w:marRight w:val="0"/>
              <w:marTop w:val="0"/>
              <w:marBottom w:val="0"/>
              <w:divBdr>
                <w:top w:val="none" w:sz="0" w:space="0" w:color="auto"/>
                <w:left w:val="none" w:sz="0" w:space="0" w:color="auto"/>
                <w:bottom w:val="none" w:sz="0" w:space="0" w:color="auto"/>
                <w:right w:val="none" w:sz="0" w:space="0" w:color="auto"/>
              </w:divBdr>
            </w:div>
            <w:div w:id="1151674324">
              <w:marLeft w:val="0"/>
              <w:marRight w:val="0"/>
              <w:marTop w:val="0"/>
              <w:marBottom w:val="0"/>
              <w:divBdr>
                <w:top w:val="none" w:sz="0" w:space="0" w:color="auto"/>
                <w:left w:val="none" w:sz="0" w:space="0" w:color="auto"/>
                <w:bottom w:val="none" w:sz="0" w:space="0" w:color="auto"/>
                <w:right w:val="none" w:sz="0" w:space="0" w:color="auto"/>
              </w:divBdr>
            </w:div>
            <w:div w:id="1292831928">
              <w:marLeft w:val="0"/>
              <w:marRight w:val="0"/>
              <w:marTop w:val="0"/>
              <w:marBottom w:val="0"/>
              <w:divBdr>
                <w:top w:val="none" w:sz="0" w:space="0" w:color="auto"/>
                <w:left w:val="none" w:sz="0" w:space="0" w:color="auto"/>
                <w:bottom w:val="none" w:sz="0" w:space="0" w:color="auto"/>
                <w:right w:val="none" w:sz="0" w:space="0" w:color="auto"/>
              </w:divBdr>
            </w:div>
            <w:div w:id="1446117958">
              <w:marLeft w:val="0"/>
              <w:marRight w:val="0"/>
              <w:marTop w:val="0"/>
              <w:marBottom w:val="0"/>
              <w:divBdr>
                <w:top w:val="none" w:sz="0" w:space="0" w:color="auto"/>
                <w:left w:val="none" w:sz="0" w:space="0" w:color="auto"/>
                <w:bottom w:val="none" w:sz="0" w:space="0" w:color="auto"/>
                <w:right w:val="none" w:sz="0" w:space="0" w:color="auto"/>
              </w:divBdr>
            </w:div>
            <w:div w:id="1782724143">
              <w:marLeft w:val="0"/>
              <w:marRight w:val="0"/>
              <w:marTop w:val="0"/>
              <w:marBottom w:val="0"/>
              <w:divBdr>
                <w:top w:val="none" w:sz="0" w:space="0" w:color="auto"/>
                <w:left w:val="none" w:sz="0" w:space="0" w:color="auto"/>
                <w:bottom w:val="none" w:sz="0" w:space="0" w:color="auto"/>
                <w:right w:val="none" w:sz="0" w:space="0" w:color="auto"/>
              </w:divBdr>
            </w:div>
            <w:div w:id="1951280124">
              <w:marLeft w:val="0"/>
              <w:marRight w:val="0"/>
              <w:marTop w:val="0"/>
              <w:marBottom w:val="0"/>
              <w:divBdr>
                <w:top w:val="none" w:sz="0" w:space="0" w:color="auto"/>
                <w:left w:val="none" w:sz="0" w:space="0" w:color="auto"/>
                <w:bottom w:val="none" w:sz="0" w:space="0" w:color="auto"/>
                <w:right w:val="none" w:sz="0" w:space="0" w:color="auto"/>
              </w:divBdr>
            </w:div>
            <w:div w:id="2083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989">
      <w:bodyDiv w:val="1"/>
      <w:marLeft w:val="0"/>
      <w:marRight w:val="0"/>
      <w:marTop w:val="0"/>
      <w:marBottom w:val="0"/>
      <w:divBdr>
        <w:top w:val="none" w:sz="0" w:space="0" w:color="auto"/>
        <w:left w:val="none" w:sz="0" w:space="0" w:color="auto"/>
        <w:bottom w:val="none" w:sz="0" w:space="0" w:color="auto"/>
        <w:right w:val="none" w:sz="0" w:space="0" w:color="auto"/>
      </w:divBdr>
      <w:divsChild>
        <w:div w:id="1342202098">
          <w:marLeft w:val="0"/>
          <w:marRight w:val="0"/>
          <w:marTop w:val="0"/>
          <w:marBottom w:val="0"/>
          <w:divBdr>
            <w:top w:val="none" w:sz="0" w:space="0" w:color="auto"/>
            <w:left w:val="none" w:sz="0" w:space="0" w:color="auto"/>
            <w:bottom w:val="none" w:sz="0" w:space="0" w:color="auto"/>
            <w:right w:val="none" w:sz="0" w:space="0" w:color="auto"/>
          </w:divBdr>
          <w:divsChild>
            <w:div w:id="668171181">
              <w:marLeft w:val="0"/>
              <w:marRight w:val="0"/>
              <w:marTop w:val="0"/>
              <w:marBottom w:val="0"/>
              <w:divBdr>
                <w:top w:val="none" w:sz="0" w:space="0" w:color="auto"/>
                <w:left w:val="none" w:sz="0" w:space="0" w:color="auto"/>
                <w:bottom w:val="none" w:sz="0" w:space="0" w:color="auto"/>
                <w:right w:val="none" w:sz="0" w:space="0" w:color="auto"/>
              </w:divBdr>
            </w:div>
            <w:div w:id="1870560756">
              <w:marLeft w:val="0"/>
              <w:marRight w:val="0"/>
              <w:marTop w:val="0"/>
              <w:marBottom w:val="0"/>
              <w:divBdr>
                <w:top w:val="none" w:sz="0" w:space="0" w:color="auto"/>
                <w:left w:val="none" w:sz="0" w:space="0" w:color="auto"/>
                <w:bottom w:val="none" w:sz="0" w:space="0" w:color="auto"/>
                <w:right w:val="none" w:sz="0" w:space="0" w:color="auto"/>
              </w:divBdr>
            </w:div>
            <w:div w:id="1874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9920">
      <w:bodyDiv w:val="1"/>
      <w:marLeft w:val="0"/>
      <w:marRight w:val="0"/>
      <w:marTop w:val="0"/>
      <w:marBottom w:val="0"/>
      <w:divBdr>
        <w:top w:val="none" w:sz="0" w:space="0" w:color="auto"/>
        <w:left w:val="none" w:sz="0" w:space="0" w:color="auto"/>
        <w:bottom w:val="none" w:sz="0" w:space="0" w:color="auto"/>
        <w:right w:val="none" w:sz="0" w:space="0" w:color="auto"/>
      </w:divBdr>
      <w:divsChild>
        <w:div w:id="357313477">
          <w:marLeft w:val="0"/>
          <w:marRight w:val="0"/>
          <w:marTop w:val="0"/>
          <w:marBottom w:val="0"/>
          <w:divBdr>
            <w:top w:val="none" w:sz="0" w:space="0" w:color="auto"/>
            <w:left w:val="none" w:sz="0" w:space="0" w:color="auto"/>
            <w:bottom w:val="none" w:sz="0" w:space="0" w:color="auto"/>
            <w:right w:val="none" w:sz="0" w:space="0" w:color="auto"/>
          </w:divBdr>
        </w:div>
      </w:divsChild>
    </w:div>
    <w:div w:id="1148280843">
      <w:bodyDiv w:val="1"/>
      <w:marLeft w:val="0"/>
      <w:marRight w:val="0"/>
      <w:marTop w:val="0"/>
      <w:marBottom w:val="0"/>
      <w:divBdr>
        <w:top w:val="none" w:sz="0" w:space="0" w:color="auto"/>
        <w:left w:val="none" w:sz="0" w:space="0" w:color="auto"/>
        <w:bottom w:val="none" w:sz="0" w:space="0" w:color="auto"/>
        <w:right w:val="none" w:sz="0" w:space="0" w:color="auto"/>
      </w:divBdr>
      <w:divsChild>
        <w:div w:id="3899316">
          <w:marLeft w:val="0"/>
          <w:marRight w:val="0"/>
          <w:marTop w:val="0"/>
          <w:marBottom w:val="0"/>
          <w:divBdr>
            <w:top w:val="none" w:sz="0" w:space="0" w:color="auto"/>
            <w:left w:val="none" w:sz="0" w:space="0" w:color="auto"/>
            <w:bottom w:val="none" w:sz="0" w:space="0" w:color="auto"/>
            <w:right w:val="none" w:sz="0" w:space="0" w:color="auto"/>
          </w:divBdr>
        </w:div>
      </w:divsChild>
    </w:div>
    <w:div w:id="1204518055">
      <w:bodyDiv w:val="1"/>
      <w:marLeft w:val="0"/>
      <w:marRight w:val="0"/>
      <w:marTop w:val="0"/>
      <w:marBottom w:val="0"/>
      <w:divBdr>
        <w:top w:val="none" w:sz="0" w:space="0" w:color="auto"/>
        <w:left w:val="none" w:sz="0" w:space="0" w:color="auto"/>
        <w:bottom w:val="none" w:sz="0" w:space="0" w:color="auto"/>
        <w:right w:val="none" w:sz="0" w:space="0" w:color="auto"/>
      </w:divBdr>
      <w:divsChild>
        <w:div w:id="765492451">
          <w:marLeft w:val="0"/>
          <w:marRight w:val="0"/>
          <w:marTop w:val="0"/>
          <w:marBottom w:val="0"/>
          <w:divBdr>
            <w:top w:val="none" w:sz="0" w:space="0" w:color="auto"/>
            <w:left w:val="none" w:sz="0" w:space="0" w:color="auto"/>
            <w:bottom w:val="none" w:sz="0" w:space="0" w:color="auto"/>
            <w:right w:val="none" w:sz="0" w:space="0" w:color="auto"/>
          </w:divBdr>
          <w:divsChild>
            <w:div w:id="1478184002">
              <w:marLeft w:val="0"/>
              <w:marRight w:val="0"/>
              <w:marTop w:val="0"/>
              <w:marBottom w:val="0"/>
              <w:divBdr>
                <w:top w:val="none" w:sz="0" w:space="0" w:color="auto"/>
                <w:left w:val="none" w:sz="0" w:space="0" w:color="auto"/>
                <w:bottom w:val="none" w:sz="0" w:space="0" w:color="auto"/>
                <w:right w:val="none" w:sz="0" w:space="0" w:color="auto"/>
              </w:divBdr>
            </w:div>
            <w:div w:id="17309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80992">
      <w:bodyDiv w:val="1"/>
      <w:marLeft w:val="0"/>
      <w:marRight w:val="0"/>
      <w:marTop w:val="0"/>
      <w:marBottom w:val="0"/>
      <w:divBdr>
        <w:top w:val="none" w:sz="0" w:space="0" w:color="auto"/>
        <w:left w:val="none" w:sz="0" w:space="0" w:color="auto"/>
        <w:bottom w:val="none" w:sz="0" w:space="0" w:color="auto"/>
        <w:right w:val="none" w:sz="0" w:space="0" w:color="auto"/>
      </w:divBdr>
    </w:div>
    <w:div w:id="1324048371">
      <w:bodyDiv w:val="1"/>
      <w:marLeft w:val="0"/>
      <w:marRight w:val="0"/>
      <w:marTop w:val="0"/>
      <w:marBottom w:val="0"/>
      <w:divBdr>
        <w:top w:val="none" w:sz="0" w:space="0" w:color="auto"/>
        <w:left w:val="none" w:sz="0" w:space="0" w:color="auto"/>
        <w:bottom w:val="none" w:sz="0" w:space="0" w:color="auto"/>
        <w:right w:val="none" w:sz="0" w:space="0" w:color="auto"/>
      </w:divBdr>
      <w:divsChild>
        <w:div w:id="1645550202">
          <w:marLeft w:val="0"/>
          <w:marRight w:val="0"/>
          <w:marTop w:val="0"/>
          <w:marBottom w:val="0"/>
          <w:divBdr>
            <w:top w:val="none" w:sz="0" w:space="0" w:color="auto"/>
            <w:left w:val="none" w:sz="0" w:space="0" w:color="auto"/>
            <w:bottom w:val="none" w:sz="0" w:space="0" w:color="auto"/>
            <w:right w:val="none" w:sz="0" w:space="0" w:color="auto"/>
          </w:divBdr>
          <w:divsChild>
            <w:div w:id="153690283">
              <w:marLeft w:val="0"/>
              <w:marRight w:val="0"/>
              <w:marTop w:val="0"/>
              <w:marBottom w:val="0"/>
              <w:divBdr>
                <w:top w:val="none" w:sz="0" w:space="0" w:color="auto"/>
                <w:left w:val="none" w:sz="0" w:space="0" w:color="auto"/>
                <w:bottom w:val="none" w:sz="0" w:space="0" w:color="auto"/>
                <w:right w:val="none" w:sz="0" w:space="0" w:color="auto"/>
              </w:divBdr>
            </w:div>
            <w:div w:id="2121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695">
      <w:bodyDiv w:val="1"/>
      <w:marLeft w:val="0"/>
      <w:marRight w:val="0"/>
      <w:marTop w:val="0"/>
      <w:marBottom w:val="0"/>
      <w:divBdr>
        <w:top w:val="none" w:sz="0" w:space="0" w:color="auto"/>
        <w:left w:val="none" w:sz="0" w:space="0" w:color="auto"/>
        <w:bottom w:val="none" w:sz="0" w:space="0" w:color="auto"/>
        <w:right w:val="none" w:sz="0" w:space="0" w:color="auto"/>
      </w:divBdr>
      <w:divsChild>
        <w:div w:id="2143425990">
          <w:marLeft w:val="0"/>
          <w:marRight w:val="0"/>
          <w:marTop w:val="0"/>
          <w:marBottom w:val="0"/>
          <w:divBdr>
            <w:top w:val="none" w:sz="0" w:space="0" w:color="auto"/>
            <w:left w:val="none" w:sz="0" w:space="0" w:color="auto"/>
            <w:bottom w:val="none" w:sz="0" w:space="0" w:color="auto"/>
            <w:right w:val="none" w:sz="0" w:space="0" w:color="auto"/>
          </w:divBdr>
          <w:divsChild>
            <w:div w:id="599029782">
              <w:marLeft w:val="0"/>
              <w:marRight w:val="0"/>
              <w:marTop w:val="0"/>
              <w:marBottom w:val="0"/>
              <w:divBdr>
                <w:top w:val="none" w:sz="0" w:space="0" w:color="auto"/>
                <w:left w:val="none" w:sz="0" w:space="0" w:color="auto"/>
                <w:bottom w:val="none" w:sz="0" w:space="0" w:color="auto"/>
                <w:right w:val="none" w:sz="0" w:space="0" w:color="auto"/>
              </w:divBdr>
            </w:div>
            <w:div w:id="942224792">
              <w:marLeft w:val="0"/>
              <w:marRight w:val="0"/>
              <w:marTop w:val="0"/>
              <w:marBottom w:val="0"/>
              <w:divBdr>
                <w:top w:val="none" w:sz="0" w:space="0" w:color="auto"/>
                <w:left w:val="none" w:sz="0" w:space="0" w:color="auto"/>
                <w:bottom w:val="none" w:sz="0" w:space="0" w:color="auto"/>
                <w:right w:val="none" w:sz="0" w:space="0" w:color="auto"/>
              </w:divBdr>
            </w:div>
            <w:div w:id="1854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4451">
      <w:bodyDiv w:val="1"/>
      <w:marLeft w:val="0"/>
      <w:marRight w:val="0"/>
      <w:marTop w:val="0"/>
      <w:marBottom w:val="0"/>
      <w:divBdr>
        <w:top w:val="none" w:sz="0" w:space="0" w:color="auto"/>
        <w:left w:val="none" w:sz="0" w:space="0" w:color="auto"/>
        <w:bottom w:val="none" w:sz="0" w:space="0" w:color="auto"/>
        <w:right w:val="none" w:sz="0" w:space="0" w:color="auto"/>
      </w:divBdr>
      <w:divsChild>
        <w:div w:id="1617176364">
          <w:marLeft w:val="0"/>
          <w:marRight w:val="0"/>
          <w:marTop w:val="0"/>
          <w:marBottom w:val="0"/>
          <w:divBdr>
            <w:top w:val="none" w:sz="0" w:space="0" w:color="auto"/>
            <w:left w:val="none" w:sz="0" w:space="0" w:color="auto"/>
            <w:bottom w:val="none" w:sz="0" w:space="0" w:color="auto"/>
            <w:right w:val="none" w:sz="0" w:space="0" w:color="auto"/>
          </w:divBdr>
          <w:divsChild>
            <w:div w:id="38434318">
              <w:marLeft w:val="0"/>
              <w:marRight w:val="0"/>
              <w:marTop w:val="0"/>
              <w:marBottom w:val="0"/>
              <w:divBdr>
                <w:top w:val="none" w:sz="0" w:space="0" w:color="auto"/>
                <w:left w:val="none" w:sz="0" w:space="0" w:color="auto"/>
                <w:bottom w:val="none" w:sz="0" w:space="0" w:color="auto"/>
                <w:right w:val="none" w:sz="0" w:space="0" w:color="auto"/>
              </w:divBdr>
            </w:div>
            <w:div w:id="600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498">
      <w:bodyDiv w:val="1"/>
      <w:marLeft w:val="0"/>
      <w:marRight w:val="0"/>
      <w:marTop w:val="0"/>
      <w:marBottom w:val="0"/>
      <w:divBdr>
        <w:top w:val="none" w:sz="0" w:space="0" w:color="auto"/>
        <w:left w:val="none" w:sz="0" w:space="0" w:color="auto"/>
        <w:bottom w:val="none" w:sz="0" w:space="0" w:color="auto"/>
        <w:right w:val="none" w:sz="0" w:space="0" w:color="auto"/>
      </w:divBdr>
      <w:divsChild>
        <w:div w:id="267465377">
          <w:marLeft w:val="0"/>
          <w:marRight w:val="0"/>
          <w:marTop w:val="0"/>
          <w:marBottom w:val="0"/>
          <w:divBdr>
            <w:top w:val="none" w:sz="0" w:space="0" w:color="auto"/>
            <w:left w:val="none" w:sz="0" w:space="0" w:color="auto"/>
            <w:bottom w:val="none" w:sz="0" w:space="0" w:color="auto"/>
            <w:right w:val="none" w:sz="0" w:space="0" w:color="auto"/>
          </w:divBdr>
        </w:div>
      </w:divsChild>
    </w:div>
    <w:div w:id="1666006612">
      <w:bodyDiv w:val="1"/>
      <w:marLeft w:val="0"/>
      <w:marRight w:val="0"/>
      <w:marTop w:val="0"/>
      <w:marBottom w:val="0"/>
      <w:divBdr>
        <w:top w:val="none" w:sz="0" w:space="0" w:color="auto"/>
        <w:left w:val="none" w:sz="0" w:space="0" w:color="auto"/>
        <w:bottom w:val="none" w:sz="0" w:space="0" w:color="auto"/>
        <w:right w:val="none" w:sz="0" w:space="0" w:color="auto"/>
      </w:divBdr>
      <w:divsChild>
        <w:div w:id="1221474424">
          <w:marLeft w:val="0"/>
          <w:marRight w:val="0"/>
          <w:marTop w:val="0"/>
          <w:marBottom w:val="0"/>
          <w:divBdr>
            <w:top w:val="none" w:sz="0" w:space="0" w:color="auto"/>
            <w:left w:val="none" w:sz="0" w:space="0" w:color="auto"/>
            <w:bottom w:val="none" w:sz="0" w:space="0" w:color="auto"/>
            <w:right w:val="none" w:sz="0" w:space="0" w:color="auto"/>
          </w:divBdr>
          <w:divsChild>
            <w:div w:id="14964480">
              <w:marLeft w:val="0"/>
              <w:marRight w:val="0"/>
              <w:marTop w:val="0"/>
              <w:marBottom w:val="0"/>
              <w:divBdr>
                <w:top w:val="none" w:sz="0" w:space="0" w:color="auto"/>
                <w:left w:val="none" w:sz="0" w:space="0" w:color="auto"/>
                <w:bottom w:val="none" w:sz="0" w:space="0" w:color="auto"/>
                <w:right w:val="none" w:sz="0" w:space="0" w:color="auto"/>
              </w:divBdr>
            </w:div>
            <w:div w:id="163253527">
              <w:marLeft w:val="0"/>
              <w:marRight w:val="0"/>
              <w:marTop w:val="0"/>
              <w:marBottom w:val="0"/>
              <w:divBdr>
                <w:top w:val="none" w:sz="0" w:space="0" w:color="auto"/>
                <w:left w:val="none" w:sz="0" w:space="0" w:color="auto"/>
                <w:bottom w:val="none" w:sz="0" w:space="0" w:color="auto"/>
                <w:right w:val="none" w:sz="0" w:space="0" w:color="auto"/>
              </w:divBdr>
            </w:div>
            <w:div w:id="787167135">
              <w:marLeft w:val="0"/>
              <w:marRight w:val="0"/>
              <w:marTop w:val="0"/>
              <w:marBottom w:val="0"/>
              <w:divBdr>
                <w:top w:val="none" w:sz="0" w:space="0" w:color="auto"/>
                <w:left w:val="none" w:sz="0" w:space="0" w:color="auto"/>
                <w:bottom w:val="none" w:sz="0" w:space="0" w:color="auto"/>
                <w:right w:val="none" w:sz="0" w:space="0" w:color="auto"/>
              </w:divBdr>
            </w:div>
            <w:div w:id="901019059">
              <w:marLeft w:val="0"/>
              <w:marRight w:val="0"/>
              <w:marTop w:val="0"/>
              <w:marBottom w:val="0"/>
              <w:divBdr>
                <w:top w:val="none" w:sz="0" w:space="0" w:color="auto"/>
                <w:left w:val="none" w:sz="0" w:space="0" w:color="auto"/>
                <w:bottom w:val="none" w:sz="0" w:space="0" w:color="auto"/>
                <w:right w:val="none" w:sz="0" w:space="0" w:color="auto"/>
              </w:divBdr>
            </w:div>
            <w:div w:id="1790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5695">
      <w:bodyDiv w:val="1"/>
      <w:marLeft w:val="0"/>
      <w:marRight w:val="0"/>
      <w:marTop w:val="0"/>
      <w:marBottom w:val="0"/>
      <w:divBdr>
        <w:top w:val="none" w:sz="0" w:space="0" w:color="auto"/>
        <w:left w:val="none" w:sz="0" w:space="0" w:color="auto"/>
        <w:bottom w:val="none" w:sz="0" w:space="0" w:color="auto"/>
        <w:right w:val="none" w:sz="0" w:space="0" w:color="auto"/>
      </w:divBdr>
      <w:divsChild>
        <w:div w:id="977031927">
          <w:marLeft w:val="0"/>
          <w:marRight w:val="0"/>
          <w:marTop w:val="0"/>
          <w:marBottom w:val="0"/>
          <w:divBdr>
            <w:top w:val="none" w:sz="0" w:space="0" w:color="auto"/>
            <w:left w:val="none" w:sz="0" w:space="0" w:color="auto"/>
            <w:bottom w:val="none" w:sz="0" w:space="0" w:color="auto"/>
            <w:right w:val="none" w:sz="0" w:space="0" w:color="auto"/>
          </w:divBdr>
          <w:divsChild>
            <w:div w:id="125514783">
              <w:marLeft w:val="0"/>
              <w:marRight w:val="0"/>
              <w:marTop w:val="0"/>
              <w:marBottom w:val="0"/>
              <w:divBdr>
                <w:top w:val="none" w:sz="0" w:space="0" w:color="auto"/>
                <w:left w:val="none" w:sz="0" w:space="0" w:color="auto"/>
                <w:bottom w:val="none" w:sz="0" w:space="0" w:color="auto"/>
                <w:right w:val="none" w:sz="0" w:space="0" w:color="auto"/>
              </w:divBdr>
            </w:div>
            <w:div w:id="237709933">
              <w:marLeft w:val="0"/>
              <w:marRight w:val="0"/>
              <w:marTop w:val="0"/>
              <w:marBottom w:val="0"/>
              <w:divBdr>
                <w:top w:val="none" w:sz="0" w:space="0" w:color="auto"/>
                <w:left w:val="none" w:sz="0" w:space="0" w:color="auto"/>
                <w:bottom w:val="none" w:sz="0" w:space="0" w:color="auto"/>
                <w:right w:val="none" w:sz="0" w:space="0" w:color="auto"/>
              </w:divBdr>
            </w:div>
            <w:div w:id="803036773">
              <w:marLeft w:val="0"/>
              <w:marRight w:val="0"/>
              <w:marTop w:val="0"/>
              <w:marBottom w:val="0"/>
              <w:divBdr>
                <w:top w:val="none" w:sz="0" w:space="0" w:color="auto"/>
                <w:left w:val="none" w:sz="0" w:space="0" w:color="auto"/>
                <w:bottom w:val="none" w:sz="0" w:space="0" w:color="auto"/>
                <w:right w:val="none" w:sz="0" w:space="0" w:color="auto"/>
              </w:divBdr>
            </w:div>
            <w:div w:id="812451504">
              <w:marLeft w:val="0"/>
              <w:marRight w:val="0"/>
              <w:marTop w:val="0"/>
              <w:marBottom w:val="0"/>
              <w:divBdr>
                <w:top w:val="none" w:sz="0" w:space="0" w:color="auto"/>
                <w:left w:val="none" w:sz="0" w:space="0" w:color="auto"/>
                <w:bottom w:val="none" w:sz="0" w:space="0" w:color="auto"/>
                <w:right w:val="none" w:sz="0" w:space="0" w:color="auto"/>
              </w:divBdr>
            </w:div>
            <w:div w:id="1718624166">
              <w:marLeft w:val="0"/>
              <w:marRight w:val="0"/>
              <w:marTop w:val="0"/>
              <w:marBottom w:val="0"/>
              <w:divBdr>
                <w:top w:val="none" w:sz="0" w:space="0" w:color="auto"/>
                <w:left w:val="none" w:sz="0" w:space="0" w:color="auto"/>
                <w:bottom w:val="none" w:sz="0" w:space="0" w:color="auto"/>
                <w:right w:val="none" w:sz="0" w:space="0" w:color="auto"/>
              </w:divBdr>
            </w:div>
            <w:div w:id="19354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3590">
      <w:bodyDiv w:val="1"/>
      <w:marLeft w:val="0"/>
      <w:marRight w:val="0"/>
      <w:marTop w:val="0"/>
      <w:marBottom w:val="0"/>
      <w:divBdr>
        <w:top w:val="none" w:sz="0" w:space="0" w:color="auto"/>
        <w:left w:val="none" w:sz="0" w:space="0" w:color="auto"/>
        <w:bottom w:val="none" w:sz="0" w:space="0" w:color="auto"/>
        <w:right w:val="none" w:sz="0" w:space="0" w:color="auto"/>
      </w:divBdr>
      <w:divsChild>
        <w:div w:id="548036290">
          <w:marLeft w:val="0"/>
          <w:marRight w:val="0"/>
          <w:marTop w:val="0"/>
          <w:marBottom w:val="0"/>
          <w:divBdr>
            <w:top w:val="none" w:sz="0" w:space="0" w:color="auto"/>
            <w:left w:val="none" w:sz="0" w:space="0" w:color="auto"/>
            <w:bottom w:val="none" w:sz="0" w:space="0" w:color="auto"/>
            <w:right w:val="none" w:sz="0" w:space="0" w:color="auto"/>
          </w:divBdr>
        </w:div>
      </w:divsChild>
    </w:div>
    <w:div w:id="1821460816">
      <w:bodyDiv w:val="1"/>
      <w:marLeft w:val="0"/>
      <w:marRight w:val="0"/>
      <w:marTop w:val="0"/>
      <w:marBottom w:val="0"/>
      <w:divBdr>
        <w:top w:val="none" w:sz="0" w:space="0" w:color="auto"/>
        <w:left w:val="none" w:sz="0" w:space="0" w:color="auto"/>
        <w:bottom w:val="none" w:sz="0" w:space="0" w:color="auto"/>
        <w:right w:val="none" w:sz="0" w:space="0" w:color="auto"/>
      </w:divBdr>
    </w:div>
    <w:div w:id="1838374815">
      <w:bodyDiv w:val="1"/>
      <w:marLeft w:val="0"/>
      <w:marRight w:val="0"/>
      <w:marTop w:val="0"/>
      <w:marBottom w:val="0"/>
      <w:divBdr>
        <w:top w:val="none" w:sz="0" w:space="0" w:color="auto"/>
        <w:left w:val="none" w:sz="0" w:space="0" w:color="auto"/>
        <w:bottom w:val="none" w:sz="0" w:space="0" w:color="auto"/>
        <w:right w:val="none" w:sz="0" w:space="0" w:color="auto"/>
      </w:divBdr>
    </w:div>
    <w:div w:id="1889681553">
      <w:bodyDiv w:val="1"/>
      <w:marLeft w:val="0"/>
      <w:marRight w:val="0"/>
      <w:marTop w:val="0"/>
      <w:marBottom w:val="0"/>
      <w:divBdr>
        <w:top w:val="none" w:sz="0" w:space="0" w:color="auto"/>
        <w:left w:val="none" w:sz="0" w:space="0" w:color="auto"/>
        <w:bottom w:val="none" w:sz="0" w:space="0" w:color="auto"/>
        <w:right w:val="none" w:sz="0" w:space="0" w:color="auto"/>
      </w:divBdr>
    </w:div>
    <w:div w:id="20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273052307">
          <w:marLeft w:val="0"/>
          <w:marRight w:val="0"/>
          <w:marTop w:val="0"/>
          <w:marBottom w:val="0"/>
          <w:divBdr>
            <w:top w:val="none" w:sz="0" w:space="0" w:color="auto"/>
            <w:left w:val="none" w:sz="0" w:space="0" w:color="auto"/>
            <w:bottom w:val="none" w:sz="0" w:space="0" w:color="auto"/>
            <w:right w:val="none" w:sz="0" w:space="0" w:color="auto"/>
          </w:divBdr>
        </w:div>
      </w:divsChild>
    </w:div>
    <w:div w:id="2028823073">
      <w:bodyDiv w:val="1"/>
      <w:marLeft w:val="0"/>
      <w:marRight w:val="0"/>
      <w:marTop w:val="0"/>
      <w:marBottom w:val="0"/>
      <w:divBdr>
        <w:top w:val="none" w:sz="0" w:space="0" w:color="auto"/>
        <w:left w:val="none" w:sz="0" w:space="0" w:color="auto"/>
        <w:bottom w:val="none" w:sz="0" w:space="0" w:color="auto"/>
        <w:right w:val="none" w:sz="0" w:space="0" w:color="auto"/>
      </w:divBdr>
      <w:divsChild>
        <w:div w:id="30069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sk.edhec.edu/sites/risk/files/pdf/edhec_risk_publication_measuring_and_managing_esg_risk_in_sovereign_bond_portfolios.pdf" TargetMode="External"/><Relationship Id="rId18" Type="http://schemas.openxmlformats.org/officeDocument/2006/relationships/hyperlink" Target="https://risk.edhe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sk.edhec.edu/measuring-and-managing-esg-risks-sovereign-bond" TargetMode="External"/><Relationship Id="rId17" Type="http://schemas.openxmlformats.org/officeDocument/2006/relationships/hyperlink" Target="https://risk.edhec.edu" TargetMode="External"/><Relationship Id="rId2" Type="http://schemas.openxmlformats.org/officeDocument/2006/relationships/customXml" Target="../customXml/item2.xml"/><Relationship Id="rId16" Type="http://schemas.openxmlformats.org/officeDocument/2006/relationships/hyperlink" Target="mailto:maud.gauchon@edhec-ris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869C6E3D17A149BF3177AF62D465D0" ma:contentTypeVersion="12" ma:contentTypeDescription="Create a new document." ma:contentTypeScope="" ma:versionID="1d7056ec91cdb1aae7dd7d19ca0b0fc5">
  <xsd:schema xmlns:xsd="http://www.w3.org/2001/XMLSchema" xmlns:xs="http://www.w3.org/2001/XMLSchema" xmlns:p="http://schemas.microsoft.com/office/2006/metadata/properties" xmlns:ns3="7bcf2e7b-cf47-4e17-b632-5558487ec044" xmlns:ns4="d64fd392-e17e-4b03-81f6-28c23e0495ea" targetNamespace="http://schemas.microsoft.com/office/2006/metadata/properties" ma:root="true" ma:fieldsID="172056716c10fb399cc1cffa1a1b006d" ns3:_="" ns4:_="">
    <xsd:import namespace="7bcf2e7b-cf47-4e17-b632-5558487ec044"/>
    <xsd:import namespace="d64fd392-e17e-4b03-81f6-28c23e0495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2e7b-cf47-4e17-b632-5558487ec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fd392-e17e-4b03-81f6-28c23e0495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F7B5-8B6F-4144-A57E-304D5EEA4875}">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d64fd392-e17e-4b03-81f6-28c23e0495ea"/>
    <ds:schemaRef ds:uri="http://schemas.microsoft.com/office/infopath/2007/PartnerControls"/>
    <ds:schemaRef ds:uri="http://schemas.openxmlformats.org/package/2006/metadata/core-properties"/>
    <ds:schemaRef ds:uri="7bcf2e7b-cf47-4e17-b632-5558487ec044"/>
    <ds:schemaRef ds:uri="http://www.w3.org/XML/1998/namespace"/>
  </ds:schemaRefs>
</ds:datastoreItem>
</file>

<file path=customXml/itemProps2.xml><?xml version="1.0" encoding="utf-8"?>
<ds:datastoreItem xmlns:ds="http://schemas.openxmlformats.org/officeDocument/2006/customXml" ds:itemID="{7F01EF59-830F-44F9-833F-8F0128568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2e7b-cf47-4e17-b632-5558487ec044"/>
    <ds:schemaRef ds:uri="d64fd392-e17e-4b03-81f6-28c23e04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89A48-D94C-4D4B-8E5B-C9DB89A93B8A}">
  <ds:schemaRefs>
    <ds:schemaRef ds:uri="http://schemas.microsoft.com/sharepoint/v3/contenttype/forms"/>
  </ds:schemaRefs>
</ds:datastoreItem>
</file>

<file path=customXml/itemProps4.xml><?xml version="1.0" encoding="utf-8"?>
<ds:datastoreItem xmlns:ds="http://schemas.openxmlformats.org/officeDocument/2006/customXml" ds:itemID="{5DDDB9FB-A049-409E-A1CE-930FD4A9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8471</Characters>
  <Application>Microsoft Office Word</Application>
  <DocSecurity>4</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 Release EDHEC-Risk</vt:lpstr>
      <vt:lpstr>Press Release EDHEC-Risk</vt:lpstr>
    </vt:vector>
  </TitlesOfParts>
  <Company>misys</Company>
  <LinksUpToDate>false</LinksUpToDate>
  <CharactersWithSpaces>9817</CharactersWithSpaces>
  <SharedDoc>false</SharedDoc>
  <HLinks>
    <vt:vector size="36" baseType="variant">
      <vt:variant>
        <vt:i4>2752624</vt:i4>
      </vt:variant>
      <vt:variant>
        <vt:i4>15</vt:i4>
      </vt:variant>
      <vt:variant>
        <vt:i4>0</vt:i4>
      </vt:variant>
      <vt:variant>
        <vt:i4>5</vt:i4>
      </vt:variant>
      <vt:variant>
        <vt:lpwstr>http://www.edhec-risk.com/</vt:lpwstr>
      </vt:variant>
      <vt:variant>
        <vt:lpwstr/>
      </vt:variant>
      <vt:variant>
        <vt:i4>2752624</vt:i4>
      </vt:variant>
      <vt:variant>
        <vt:i4>12</vt:i4>
      </vt:variant>
      <vt:variant>
        <vt:i4>0</vt:i4>
      </vt:variant>
      <vt:variant>
        <vt:i4>5</vt:i4>
      </vt:variant>
      <vt:variant>
        <vt:lpwstr>http://www.edhec-risk.com/</vt:lpwstr>
      </vt:variant>
      <vt:variant>
        <vt:lpwstr/>
      </vt:variant>
      <vt:variant>
        <vt:i4>2752624</vt:i4>
      </vt:variant>
      <vt:variant>
        <vt:i4>9</vt:i4>
      </vt:variant>
      <vt:variant>
        <vt:i4>0</vt:i4>
      </vt:variant>
      <vt:variant>
        <vt:i4>5</vt:i4>
      </vt:variant>
      <vt:variant>
        <vt:lpwstr>http://www.edhec-risk.com/</vt:lpwstr>
      </vt:variant>
      <vt:variant>
        <vt:lpwstr/>
      </vt:variant>
      <vt:variant>
        <vt:i4>2293760</vt:i4>
      </vt:variant>
      <vt:variant>
        <vt:i4>6</vt:i4>
      </vt:variant>
      <vt:variant>
        <vt:i4>0</vt:i4>
      </vt:variant>
      <vt:variant>
        <vt:i4>5</vt:i4>
      </vt:variant>
      <vt:variant>
        <vt:lpwstr>mailto:severine.anjubault@edhec-risk.com</vt:lpwstr>
      </vt:variant>
      <vt:variant>
        <vt:lpwstr/>
      </vt:variant>
      <vt:variant>
        <vt:i4>3342408</vt:i4>
      </vt:variant>
      <vt:variant>
        <vt:i4>3</vt:i4>
      </vt:variant>
      <vt:variant>
        <vt:i4>0</vt:i4>
      </vt:variant>
      <vt:variant>
        <vt:i4>5</vt:i4>
      </vt:variant>
      <vt:variant>
        <vt:lpwstr>http://docs.edhec-risk.com/mrk/000000/Press/EDHEC_Publication_Response_EC_White_Paper_Pensions_F.pdf</vt:lpwstr>
      </vt:variant>
      <vt:variant>
        <vt:lpwstr/>
      </vt:variant>
      <vt:variant>
        <vt:i4>4128849</vt:i4>
      </vt:variant>
      <vt:variant>
        <vt:i4>0</vt:i4>
      </vt:variant>
      <vt:variant>
        <vt:i4>0</vt:i4>
      </vt:variant>
      <vt:variant>
        <vt:i4>5</vt:i4>
      </vt:variant>
      <vt:variant>
        <vt:lpwstr>http://docs.edhec-risk.com/mrk/000000/Press/Letter_L_Andor_EC_White_Paper_Pensions_031012.pdf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EDHEC-Risk</dc:title>
  <dc:creator>GAUCHON Maud</dc:creator>
  <cp:lastModifiedBy>GAUCHON Maud</cp:lastModifiedBy>
  <cp:revision>2</cp:revision>
  <cp:lastPrinted>2019-06-20T14:33:00Z</cp:lastPrinted>
  <dcterms:created xsi:type="dcterms:W3CDTF">2021-03-29T08:58:00Z</dcterms:created>
  <dcterms:modified xsi:type="dcterms:W3CDTF">2021-03-29T08:58:00Z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0x010100C4869C6E3D17A149BF3177AF62D465D0</vt:lpwstr>
  </property>
</Properties>
</file>