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61C1" w14:textId="3D68613A" w:rsidR="00AA2B4C" w:rsidRPr="00A373FE" w:rsidRDefault="00AA2B4C" w:rsidP="00AA2B4C">
      <w:pPr>
        <w:pStyle w:val="En-tte"/>
        <w:tabs>
          <w:tab w:val="clear" w:pos="4536"/>
          <w:tab w:val="clear" w:pos="9072"/>
          <w:tab w:val="right" w:pos="9000"/>
        </w:tabs>
        <w:jc w:val="center"/>
        <w:rPr>
          <w:b/>
          <w:bCs/>
          <w:sz w:val="24"/>
          <w:szCs w:val="24"/>
        </w:rPr>
      </w:pPr>
      <w:r w:rsidRPr="00A373FE">
        <w:rPr>
          <w:b/>
          <w:bCs/>
          <w:noProof/>
          <w:sz w:val="24"/>
          <w:szCs w:val="24"/>
        </w:rPr>
        <w:drawing>
          <wp:inline distT="0" distB="0" distL="0" distR="0" wp14:anchorId="6866B95F" wp14:editId="26A23576">
            <wp:extent cx="2352675" cy="854401"/>
            <wp:effectExtent l="0" t="0" r="0" b="3175"/>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3816" cy="865710"/>
                    </a:xfrm>
                    <a:prstGeom prst="rect">
                      <a:avLst/>
                    </a:prstGeom>
                  </pic:spPr>
                </pic:pic>
              </a:graphicData>
            </a:graphic>
          </wp:inline>
        </w:drawing>
      </w:r>
    </w:p>
    <w:p w14:paraId="0BF023AA" w14:textId="77777777" w:rsidR="00AA2B4C" w:rsidRPr="00A373FE" w:rsidRDefault="00AA2B4C" w:rsidP="00AA2B4C">
      <w:pPr>
        <w:pStyle w:val="En-tte"/>
        <w:tabs>
          <w:tab w:val="clear" w:pos="4536"/>
          <w:tab w:val="clear" w:pos="9072"/>
          <w:tab w:val="right" w:pos="9000"/>
        </w:tabs>
        <w:rPr>
          <w:b/>
          <w:bCs/>
          <w:sz w:val="24"/>
          <w:szCs w:val="24"/>
        </w:rPr>
      </w:pPr>
    </w:p>
    <w:p w14:paraId="58C4B3E9" w14:textId="77777777" w:rsidR="00AA2B4C" w:rsidRPr="00A373FE" w:rsidRDefault="00AA2B4C" w:rsidP="00AA2B4C">
      <w:pPr>
        <w:pStyle w:val="En-tte"/>
        <w:tabs>
          <w:tab w:val="clear" w:pos="4536"/>
          <w:tab w:val="clear" w:pos="9072"/>
          <w:tab w:val="right" w:pos="9000"/>
        </w:tabs>
        <w:rPr>
          <w:b/>
          <w:bCs/>
          <w:sz w:val="24"/>
          <w:szCs w:val="24"/>
        </w:rPr>
      </w:pPr>
    </w:p>
    <w:p w14:paraId="0C9BC987" w14:textId="77777777" w:rsidR="00AA2B4C" w:rsidRPr="00A373FE" w:rsidRDefault="00AA2B4C" w:rsidP="00AA2B4C">
      <w:pPr>
        <w:pStyle w:val="En-tte"/>
        <w:tabs>
          <w:tab w:val="clear" w:pos="4536"/>
          <w:tab w:val="clear" w:pos="9072"/>
          <w:tab w:val="right" w:pos="9000"/>
        </w:tabs>
        <w:rPr>
          <w:b/>
          <w:bCs/>
          <w:sz w:val="24"/>
          <w:szCs w:val="24"/>
        </w:rPr>
      </w:pPr>
    </w:p>
    <w:p w14:paraId="0097111E" w14:textId="2FB3B80C" w:rsidR="00AA2B4C" w:rsidRPr="00A373FE" w:rsidRDefault="00AA2B4C" w:rsidP="00AA2B4C">
      <w:pPr>
        <w:pStyle w:val="En-tte"/>
        <w:tabs>
          <w:tab w:val="clear" w:pos="4536"/>
          <w:tab w:val="clear" w:pos="9072"/>
          <w:tab w:val="right" w:pos="9000"/>
        </w:tabs>
        <w:rPr>
          <w:b/>
          <w:snapToGrid w:val="0"/>
          <w:color w:val="000000"/>
          <w:sz w:val="24"/>
        </w:rPr>
      </w:pPr>
      <w:r w:rsidRPr="00A373FE">
        <w:rPr>
          <w:b/>
          <w:bCs/>
          <w:sz w:val="24"/>
          <w:szCs w:val="24"/>
        </w:rPr>
        <w:t>Press Release</w:t>
      </w:r>
      <w:r w:rsidRPr="00A373FE">
        <w:rPr>
          <w:b/>
          <w:bCs/>
          <w:sz w:val="24"/>
          <w:szCs w:val="24"/>
        </w:rPr>
        <w:tab/>
        <w:t xml:space="preserve">London, </w:t>
      </w:r>
      <w:r w:rsidRPr="00A373FE">
        <w:rPr>
          <w:b/>
          <w:snapToGrid w:val="0"/>
          <w:color w:val="000000"/>
          <w:sz w:val="24"/>
        </w:rPr>
        <w:t xml:space="preserve">Nice, Paris, </w:t>
      </w:r>
      <w:r w:rsidR="006745C2" w:rsidRPr="00A373FE">
        <w:rPr>
          <w:b/>
          <w:snapToGrid w:val="0"/>
          <w:color w:val="000000"/>
          <w:sz w:val="24"/>
        </w:rPr>
        <w:t>September 12</w:t>
      </w:r>
      <w:r w:rsidRPr="00A373FE">
        <w:rPr>
          <w:b/>
          <w:snapToGrid w:val="0"/>
          <w:color w:val="000000"/>
          <w:sz w:val="24"/>
        </w:rPr>
        <w:t>, 2023</w:t>
      </w:r>
    </w:p>
    <w:p w14:paraId="3E7863DF" w14:textId="77777777" w:rsidR="00AA2B4C" w:rsidRPr="00A373FE" w:rsidRDefault="00AA2B4C" w:rsidP="00AA2B4C">
      <w:pPr>
        <w:autoSpaceDE w:val="0"/>
        <w:autoSpaceDN w:val="0"/>
        <w:adjustRightInd w:val="0"/>
        <w:spacing w:line="260" w:lineRule="atLeast"/>
        <w:rPr>
          <w:color w:val="000000"/>
          <w:sz w:val="22"/>
          <w:szCs w:val="22"/>
        </w:rPr>
      </w:pPr>
    </w:p>
    <w:p w14:paraId="2B9C2FCA" w14:textId="77777777" w:rsidR="00AA2B4C" w:rsidRPr="00A373FE" w:rsidRDefault="00AA2B4C" w:rsidP="00AA2B4C">
      <w:pPr>
        <w:autoSpaceDE w:val="0"/>
        <w:autoSpaceDN w:val="0"/>
        <w:adjustRightInd w:val="0"/>
        <w:spacing w:line="260" w:lineRule="atLeast"/>
        <w:rPr>
          <w:color w:val="000000"/>
          <w:sz w:val="22"/>
          <w:szCs w:val="22"/>
        </w:rPr>
      </w:pPr>
    </w:p>
    <w:p w14:paraId="00399270" w14:textId="15BF1A62" w:rsidR="003A0CB8" w:rsidRPr="00A373FE" w:rsidRDefault="003A0CB8" w:rsidP="003A0CB8">
      <w:pPr>
        <w:autoSpaceDE w:val="0"/>
        <w:autoSpaceDN w:val="0"/>
        <w:adjustRightInd w:val="0"/>
        <w:spacing w:line="260" w:lineRule="atLeast"/>
        <w:jc w:val="center"/>
        <w:rPr>
          <w:b/>
          <w:sz w:val="34"/>
          <w:szCs w:val="34"/>
        </w:rPr>
      </w:pPr>
      <w:r w:rsidRPr="00A373FE">
        <w:rPr>
          <w:b/>
          <w:sz w:val="34"/>
          <w:szCs w:val="34"/>
        </w:rPr>
        <w:t xml:space="preserve">New EDHEC-Risk Climate paper applies natural language processing to extract climate change concerns from news </w:t>
      </w:r>
    </w:p>
    <w:p w14:paraId="7CC4B0DA" w14:textId="77777777" w:rsidR="00AA2B4C" w:rsidRPr="00A373FE" w:rsidRDefault="00AA2B4C" w:rsidP="00AA2B4C">
      <w:pPr>
        <w:jc w:val="both"/>
        <w:rPr>
          <w:sz w:val="22"/>
          <w:szCs w:val="22"/>
        </w:rPr>
      </w:pPr>
    </w:p>
    <w:p w14:paraId="20C18F7C" w14:textId="77777777" w:rsidR="00AA2B4C" w:rsidRPr="00A373FE" w:rsidRDefault="00AA2B4C" w:rsidP="00AA2B4C">
      <w:pPr>
        <w:jc w:val="both"/>
      </w:pPr>
    </w:p>
    <w:p w14:paraId="3CAA5E4A" w14:textId="3BD6D714" w:rsidR="00AA2B4C" w:rsidRPr="00A373FE" w:rsidRDefault="003A0CB8" w:rsidP="00C35ECC">
      <w:pPr>
        <w:spacing w:line="280" w:lineRule="atLeast"/>
        <w:jc w:val="both"/>
        <w:rPr>
          <w:snapToGrid w:val="0"/>
          <w:color w:val="000000"/>
        </w:rPr>
      </w:pPr>
      <w:r w:rsidRPr="00A373FE">
        <w:rPr>
          <w:snapToGrid w:val="0"/>
          <w:color w:val="000000"/>
        </w:rPr>
        <w:t xml:space="preserve">Both climate </w:t>
      </w:r>
      <w:r w:rsidR="00F24A59" w:rsidRPr="00A373FE">
        <w:rPr>
          <w:snapToGrid w:val="0"/>
          <w:color w:val="000000"/>
        </w:rPr>
        <w:t xml:space="preserve">change </w:t>
      </w:r>
      <w:r w:rsidRPr="00A373FE">
        <w:rPr>
          <w:snapToGrid w:val="0"/>
          <w:color w:val="000000"/>
        </w:rPr>
        <w:t xml:space="preserve">inaction and climate change action are </w:t>
      </w:r>
      <w:r w:rsidR="00F24A59" w:rsidRPr="00A373FE">
        <w:rPr>
          <w:snapToGrid w:val="0"/>
          <w:color w:val="000000"/>
        </w:rPr>
        <w:t xml:space="preserve">expected to have an impact on the value of financial assets. </w:t>
      </w:r>
      <w:r w:rsidR="00C35ECC" w:rsidRPr="00A373FE">
        <w:rPr>
          <w:snapToGrid w:val="0"/>
          <w:color w:val="000000"/>
        </w:rPr>
        <w:t>It is therefore of interest to</w:t>
      </w:r>
      <w:r w:rsidR="000901C3" w:rsidRPr="00A373FE">
        <w:rPr>
          <w:snapToGrid w:val="0"/>
          <w:color w:val="000000"/>
        </w:rPr>
        <w:t xml:space="preserve"> </w:t>
      </w:r>
      <w:r w:rsidR="00F24A59" w:rsidRPr="00A373FE">
        <w:rPr>
          <w:snapToGrid w:val="0"/>
          <w:color w:val="000000"/>
        </w:rPr>
        <w:t xml:space="preserve">investors </w:t>
      </w:r>
      <w:r w:rsidR="00C35ECC" w:rsidRPr="00A373FE">
        <w:rPr>
          <w:snapToGrid w:val="0"/>
          <w:color w:val="000000"/>
        </w:rPr>
        <w:t xml:space="preserve">to quantify </w:t>
      </w:r>
      <w:r w:rsidR="00F24A59" w:rsidRPr="00A373FE">
        <w:rPr>
          <w:snapToGrid w:val="0"/>
          <w:color w:val="000000"/>
        </w:rPr>
        <w:t xml:space="preserve">their exposure to climate change through the use of a </w:t>
      </w:r>
      <w:r w:rsidR="00F24A59" w:rsidRPr="00A373FE">
        <w:rPr>
          <w:i/>
          <w:iCs/>
          <w:snapToGrid w:val="0"/>
          <w:color w:val="000000"/>
        </w:rPr>
        <w:t>climate beta</w:t>
      </w:r>
      <w:r w:rsidR="00C35ECC" w:rsidRPr="00A373FE">
        <w:rPr>
          <w:i/>
          <w:iCs/>
          <w:snapToGrid w:val="0"/>
          <w:color w:val="000000"/>
        </w:rPr>
        <w:t>,</w:t>
      </w:r>
      <w:r w:rsidR="00C35ECC" w:rsidRPr="00A373FE">
        <w:rPr>
          <w:snapToGrid w:val="0"/>
          <w:color w:val="000000"/>
        </w:rPr>
        <w:t xml:space="preserve"> just as an exposure to market risk is measured by the traditional market beta.</w:t>
      </w:r>
      <w:r w:rsidR="00F24A59" w:rsidRPr="00A373FE">
        <w:rPr>
          <w:snapToGrid w:val="0"/>
          <w:color w:val="000000"/>
        </w:rPr>
        <w:t xml:space="preserve"> However, measuring the </w:t>
      </w:r>
      <w:r w:rsidR="00F24A59" w:rsidRPr="00A373FE">
        <w:rPr>
          <w:i/>
          <w:iCs/>
          <w:snapToGrid w:val="0"/>
          <w:color w:val="000000"/>
        </w:rPr>
        <w:t>climate beta</w:t>
      </w:r>
      <w:r w:rsidR="00F24A59" w:rsidRPr="00A373FE">
        <w:rPr>
          <w:snapToGrid w:val="0"/>
          <w:color w:val="000000"/>
        </w:rPr>
        <w:t xml:space="preserve"> is difficult because it </w:t>
      </w:r>
      <w:r w:rsidR="00C35ECC" w:rsidRPr="00A373FE">
        <w:rPr>
          <w:snapToGrid w:val="0"/>
          <w:color w:val="000000"/>
        </w:rPr>
        <w:t>require</w:t>
      </w:r>
      <w:r w:rsidR="005B5A9D">
        <w:rPr>
          <w:snapToGrid w:val="0"/>
          <w:color w:val="000000"/>
        </w:rPr>
        <w:t>s</w:t>
      </w:r>
      <w:r w:rsidR="00C35ECC" w:rsidRPr="00A373FE">
        <w:rPr>
          <w:snapToGrid w:val="0"/>
          <w:color w:val="000000"/>
        </w:rPr>
        <w:t xml:space="preserve"> identifying </w:t>
      </w:r>
      <w:r w:rsidR="00F24A59" w:rsidRPr="00A373FE">
        <w:rPr>
          <w:snapToGrid w:val="0"/>
          <w:color w:val="000000"/>
        </w:rPr>
        <w:t>a proxy variable that reflects changes in climate risk.</w:t>
      </w:r>
    </w:p>
    <w:p w14:paraId="6EF01957" w14:textId="77777777" w:rsidR="00AA2B4C" w:rsidRPr="00A373FE" w:rsidRDefault="00AA2B4C" w:rsidP="00AA2B4C">
      <w:pPr>
        <w:spacing w:line="280" w:lineRule="atLeast"/>
        <w:jc w:val="both"/>
        <w:rPr>
          <w:snapToGrid w:val="0"/>
          <w:color w:val="000000"/>
        </w:rPr>
      </w:pPr>
    </w:p>
    <w:p w14:paraId="082C2786" w14:textId="41B88914" w:rsidR="00C35ECC" w:rsidRPr="00A373FE" w:rsidRDefault="009D4080" w:rsidP="000901C3">
      <w:pPr>
        <w:autoSpaceDE w:val="0"/>
        <w:autoSpaceDN w:val="0"/>
        <w:adjustRightInd w:val="0"/>
        <w:rPr>
          <w:b/>
          <w:snapToGrid w:val="0"/>
          <w:color w:val="000000"/>
        </w:rPr>
      </w:pPr>
      <w:r w:rsidRPr="00A373FE">
        <w:t>In a new publication “</w:t>
      </w:r>
      <w:hyperlink r:id="rId8" w:history="1">
        <w:r w:rsidRPr="00A373FE">
          <w:rPr>
            <w:rStyle w:val="Lienhypertexte"/>
          </w:rPr>
          <w:t xml:space="preserve">The Impact of Climate Change News on </w:t>
        </w:r>
        <w:r w:rsidR="00C3672E" w:rsidRPr="00A373FE">
          <w:rPr>
            <w:rStyle w:val="Lienhypertexte"/>
          </w:rPr>
          <w:t xml:space="preserve">Low-minus-High Carbon Intensity </w:t>
        </w:r>
        <w:r w:rsidRPr="00A373FE">
          <w:rPr>
            <w:rStyle w:val="Lienhypertexte"/>
          </w:rPr>
          <w:t>Portfolios</w:t>
        </w:r>
      </w:hyperlink>
      <w:r w:rsidRPr="00A373FE">
        <w:t xml:space="preserve">”, </w:t>
      </w:r>
      <w:r w:rsidRPr="00A373FE">
        <w:rPr>
          <w:snapToGrid w:val="0"/>
          <w:color w:val="000000"/>
        </w:rPr>
        <w:t>produced as part of the Amundi research chair on “Measuring and Managing Climate Risks in Investment Portfolios</w:t>
      </w:r>
      <w:r w:rsidRPr="00A373FE">
        <w:t>,</w:t>
      </w:r>
      <w:r w:rsidR="00C35ECC" w:rsidRPr="00A373FE">
        <w:t>”</w:t>
      </w:r>
      <w:r w:rsidRPr="00A373FE">
        <w:t xml:space="preserve"> EDHEC-Risk Climate </w:t>
      </w:r>
      <w:r w:rsidR="00C35ECC" w:rsidRPr="00A373FE">
        <w:rPr>
          <w:b/>
          <w:snapToGrid w:val="0"/>
          <w:color w:val="000000"/>
        </w:rPr>
        <w:t xml:space="preserve">researchers Jean-Michel Maeso and Dominic O’Kane </w:t>
      </w:r>
      <w:r w:rsidR="00C35ECC" w:rsidRPr="00A373FE">
        <w:rPr>
          <w:rFonts w:eastAsiaTheme="minorHAnsi"/>
          <w:lang w:val="en-SG" w:eastAsia="en-US"/>
        </w:rPr>
        <w:t xml:space="preserve">apply the latest natural language processing methods to construct and test such proxies from </w:t>
      </w:r>
      <w:r w:rsidR="00333D34" w:rsidRPr="00A373FE">
        <w:rPr>
          <w:rFonts w:eastAsiaTheme="minorHAnsi"/>
          <w:lang w:val="en-SG" w:eastAsia="en-US"/>
        </w:rPr>
        <w:t xml:space="preserve">media </w:t>
      </w:r>
      <w:r w:rsidR="00C35ECC" w:rsidRPr="00A373FE">
        <w:rPr>
          <w:rFonts w:eastAsiaTheme="minorHAnsi"/>
          <w:lang w:val="en-SG" w:eastAsia="en-US"/>
        </w:rPr>
        <w:t>articles over some fifteen years.</w:t>
      </w:r>
    </w:p>
    <w:p w14:paraId="71249496" w14:textId="77777777" w:rsidR="00C35ECC" w:rsidRPr="00A373FE" w:rsidRDefault="00C35ECC" w:rsidP="00C3672E">
      <w:pPr>
        <w:spacing w:line="280" w:lineRule="atLeast"/>
        <w:jc w:val="both"/>
        <w:rPr>
          <w:b/>
          <w:snapToGrid w:val="0"/>
          <w:color w:val="000000"/>
        </w:rPr>
      </w:pPr>
    </w:p>
    <w:p w14:paraId="11AA00B1" w14:textId="0F1322C1" w:rsidR="004E09A7" w:rsidRPr="00A373FE" w:rsidRDefault="004E09A7" w:rsidP="00333D34">
      <w:pPr>
        <w:autoSpaceDE w:val="0"/>
        <w:autoSpaceDN w:val="0"/>
        <w:adjustRightInd w:val="0"/>
        <w:rPr>
          <w:snapToGrid w:val="0"/>
          <w:color w:val="000000"/>
        </w:rPr>
      </w:pPr>
      <w:r w:rsidRPr="00A373FE">
        <w:rPr>
          <w:snapToGrid w:val="0"/>
          <w:color w:val="000000"/>
        </w:rPr>
        <w:t xml:space="preserve">Linguistic dictionary, lexical sentiment-based techniques, and state-of-the-art transformer-based models are used to capture </w:t>
      </w:r>
      <w:r w:rsidR="00333D34" w:rsidRPr="00A373FE">
        <w:rPr>
          <w:snapToGrid w:val="0"/>
          <w:color w:val="000000"/>
        </w:rPr>
        <w:t xml:space="preserve">daily variations in </w:t>
      </w:r>
      <w:r w:rsidRPr="00A373FE">
        <w:rPr>
          <w:snapToGrid w:val="0"/>
          <w:color w:val="000000"/>
        </w:rPr>
        <w:t>climate change concerns in leading newspapers</w:t>
      </w:r>
      <w:r w:rsidR="00E00E55" w:rsidRPr="00A373FE">
        <w:rPr>
          <w:snapToGrid w:val="0"/>
          <w:color w:val="000000"/>
        </w:rPr>
        <w:t xml:space="preserve"> over the 2005-2021 period</w:t>
      </w:r>
      <w:r w:rsidRPr="00A373FE">
        <w:rPr>
          <w:snapToGrid w:val="0"/>
          <w:color w:val="000000"/>
        </w:rPr>
        <w:t xml:space="preserve">.  </w:t>
      </w:r>
      <w:r w:rsidR="00333D34" w:rsidRPr="00A373FE">
        <w:rPr>
          <w:snapToGrid w:val="0"/>
          <w:color w:val="000000"/>
        </w:rPr>
        <w:t>The authors build i</w:t>
      </w:r>
      <w:r w:rsidRPr="00A373FE">
        <w:rPr>
          <w:snapToGrid w:val="0"/>
          <w:color w:val="000000"/>
        </w:rPr>
        <w:t xml:space="preserve">ndices for </w:t>
      </w:r>
      <w:r w:rsidR="00333D34" w:rsidRPr="00A373FE">
        <w:rPr>
          <w:snapToGrid w:val="0"/>
          <w:color w:val="000000"/>
        </w:rPr>
        <w:t xml:space="preserve">five major news sources and their aggregation and </w:t>
      </w:r>
      <w:r w:rsidRPr="00A373FE">
        <w:rPr>
          <w:snapToGrid w:val="0"/>
          <w:color w:val="000000"/>
        </w:rPr>
        <w:t>study the relationship</w:t>
      </w:r>
      <w:r w:rsidR="000A219A" w:rsidRPr="00A373FE">
        <w:rPr>
          <w:snapToGrid w:val="0"/>
          <w:color w:val="000000"/>
        </w:rPr>
        <w:t xml:space="preserve"> </w:t>
      </w:r>
      <w:r w:rsidRPr="00A373FE">
        <w:rPr>
          <w:snapToGrid w:val="0"/>
          <w:color w:val="000000"/>
        </w:rPr>
        <w:t>between</w:t>
      </w:r>
      <w:r w:rsidR="00A11A6E" w:rsidRPr="00A373FE">
        <w:rPr>
          <w:snapToGrid w:val="0"/>
          <w:color w:val="000000"/>
        </w:rPr>
        <w:t xml:space="preserve"> </w:t>
      </w:r>
      <w:r w:rsidR="00333D34" w:rsidRPr="00A373FE">
        <w:rPr>
          <w:snapToGrid w:val="0"/>
          <w:color w:val="000000"/>
        </w:rPr>
        <w:t xml:space="preserve">index </w:t>
      </w:r>
      <w:r w:rsidRPr="00A373FE">
        <w:rPr>
          <w:snapToGrid w:val="0"/>
          <w:color w:val="000000"/>
        </w:rPr>
        <w:t xml:space="preserve">innovations and the changes in </w:t>
      </w:r>
      <w:r w:rsidR="00333D34" w:rsidRPr="00A373FE">
        <w:rPr>
          <w:snapToGrid w:val="0"/>
          <w:color w:val="000000"/>
        </w:rPr>
        <w:t xml:space="preserve">the </w:t>
      </w:r>
      <w:r w:rsidRPr="00A373FE">
        <w:rPr>
          <w:snapToGrid w:val="0"/>
          <w:color w:val="000000"/>
        </w:rPr>
        <w:t>value</w:t>
      </w:r>
      <w:r w:rsidR="00333D34" w:rsidRPr="00A373FE">
        <w:rPr>
          <w:snapToGrid w:val="0"/>
          <w:color w:val="000000"/>
        </w:rPr>
        <w:t>s</w:t>
      </w:r>
      <w:r w:rsidRPr="00A373FE">
        <w:rPr>
          <w:snapToGrid w:val="0"/>
          <w:color w:val="000000"/>
        </w:rPr>
        <w:t xml:space="preserve"> of portfolios of large capitalisation companies listed in the United States.</w:t>
      </w:r>
    </w:p>
    <w:p w14:paraId="5364BF56" w14:textId="77777777" w:rsidR="004E09A7" w:rsidRPr="00A373FE" w:rsidRDefault="004E09A7" w:rsidP="0058710B">
      <w:pPr>
        <w:jc w:val="both"/>
        <w:rPr>
          <w:snapToGrid w:val="0"/>
          <w:color w:val="000000"/>
        </w:rPr>
      </w:pPr>
    </w:p>
    <w:p w14:paraId="33B94176" w14:textId="26BE6DCD" w:rsidR="00F24A59" w:rsidRPr="00A373FE" w:rsidRDefault="00AA2B4C" w:rsidP="00F24A59">
      <w:pPr>
        <w:spacing w:line="280" w:lineRule="atLeast"/>
        <w:jc w:val="both"/>
        <w:rPr>
          <w:snapToGrid w:val="0"/>
          <w:color w:val="000000"/>
        </w:rPr>
      </w:pPr>
      <w:r w:rsidRPr="00A373FE">
        <w:rPr>
          <w:snapToGrid w:val="0"/>
          <w:color w:val="000000"/>
        </w:rPr>
        <w:t>The</w:t>
      </w:r>
      <w:r w:rsidR="00F24A59" w:rsidRPr="00A373FE">
        <w:rPr>
          <w:snapToGrid w:val="0"/>
          <w:color w:val="000000"/>
        </w:rPr>
        <w:t xml:space="preserve">y draw </w:t>
      </w:r>
      <w:r w:rsidR="007B1FE7" w:rsidRPr="00A373FE">
        <w:rPr>
          <w:snapToGrid w:val="0"/>
          <w:color w:val="000000"/>
        </w:rPr>
        <w:t xml:space="preserve">three </w:t>
      </w:r>
      <w:r w:rsidR="00F24A59" w:rsidRPr="00A373FE">
        <w:rPr>
          <w:snapToGrid w:val="0"/>
          <w:color w:val="000000"/>
        </w:rPr>
        <w:t>major conclusions from their work:</w:t>
      </w:r>
    </w:p>
    <w:p w14:paraId="477C72FC" w14:textId="0C53FC4D" w:rsidR="00F24A59" w:rsidRPr="00A373FE" w:rsidRDefault="00F24A59" w:rsidP="00F24A59">
      <w:pPr>
        <w:spacing w:line="280" w:lineRule="atLeast"/>
        <w:jc w:val="both"/>
        <w:rPr>
          <w:snapToGrid w:val="0"/>
          <w:color w:val="000000"/>
        </w:rPr>
      </w:pPr>
    </w:p>
    <w:p w14:paraId="2CB08F87" w14:textId="4145F64E" w:rsidR="0008461D" w:rsidRPr="0031515E" w:rsidRDefault="00AA2B4C" w:rsidP="00981B6A">
      <w:pPr>
        <w:pStyle w:val="Paragraphedeliste"/>
        <w:numPr>
          <w:ilvl w:val="0"/>
          <w:numId w:val="15"/>
        </w:numPr>
        <w:autoSpaceDE w:val="0"/>
        <w:autoSpaceDN w:val="0"/>
        <w:adjustRightInd w:val="0"/>
        <w:rPr>
          <w:rFonts w:ascii="Times New Roman" w:hAnsi="Times New Roman" w:cs="Times New Roman"/>
          <w:snapToGrid w:val="0"/>
          <w:color w:val="000000"/>
          <w:sz w:val="24"/>
          <w:szCs w:val="24"/>
        </w:rPr>
      </w:pPr>
      <w:r w:rsidRPr="0031515E">
        <w:rPr>
          <w:rFonts w:ascii="Times New Roman" w:hAnsi="Times New Roman" w:cs="Times New Roman"/>
          <w:snapToGrid w:val="0"/>
          <w:color w:val="000000"/>
          <w:sz w:val="24"/>
          <w:szCs w:val="24"/>
        </w:rPr>
        <w:t xml:space="preserve">For most of the language models considered, the sensitivity of returns to an increase in the corresponding </w:t>
      </w:r>
      <w:r w:rsidR="006E39CB" w:rsidRPr="0031515E">
        <w:rPr>
          <w:rFonts w:ascii="Times New Roman" w:hAnsi="Times New Roman" w:cs="Times New Roman"/>
          <w:snapToGrid w:val="0"/>
          <w:color w:val="000000"/>
          <w:sz w:val="24"/>
          <w:szCs w:val="24"/>
        </w:rPr>
        <w:t>a</w:t>
      </w:r>
      <w:r w:rsidRPr="0031515E">
        <w:rPr>
          <w:rFonts w:ascii="Times New Roman" w:hAnsi="Times New Roman" w:cs="Times New Roman"/>
          <w:snapToGrid w:val="0"/>
          <w:color w:val="000000"/>
          <w:sz w:val="24"/>
          <w:szCs w:val="24"/>
        </w:rPr>
        <w:t xml:space="preserve">ggregated </w:t>
      </w:r>
      <w:r w:rsidR="006E39CB" w:rsidRPr="0031515E">
        <w:rPr>
          <w:rFonts w:ascii="Times New Roman" w:hAnsi="Times New Roman" w:cs="Times New Roman"/>
          <w:snapToGrid w:val="0"/>
          <w:color w:val="000000"/>
          <w:sz w:val="24"/>
          <w:szCs w:val="24"/>
        </w:rPr>
        <w:t>news</w:t>
      </w:r>
      <w:r w:rsidRPr="0031515E">
        <w:rPr>
          <w:rFonts w:ascii="Times New Roman" w:hAnsi="Times New Roman" w:cs="Times New Roman"/>
          <w:snapToGrid w:val="0"/>
          <w:color w:val="000000"/>
          <w:sz w:val="24"/>
          <w:szCs w:val="24"/>
        </w:rPr>
        <w:t xml:space="preserve"> inde</w:t>
      </w:r>
      <w:r w:rsidR="006E39CB" w:rsidRPr="0031515E">
        <w:rPr>
          <w:rFonts w:ascii="Times New Roman" w:hAnsi="Times New Roman" w:cs="Times New Roman"/>
          <w:snapToGrid w:val="0"/>
          <w:color w:val="000000"/>
          <w:sz w:val="24"/>
          <w:szCs w:val="24"/>
        </w:rPr>
        <w:t xml:space="preserve">x </w:t>
      </w:r>
      <w:r w:rsidRPr="0031515E">
        <w:rPr>
          <w:rFonts w:ascii="Times New Roman" w:hAnsi="Times New Roman" w:cs="Times New Roman"/>
          <w:snapToGrid w:val="0"/>
          <w:color w:val="000000"/>
          <w:sz w:val="24"/>
          <w:szCs w:val="24"/>
        </w:rPr>
        <w:t xml:space="preserve">is negative and </w:t>
      </w:r>
      <w:r w:rsidR="00333D34" w:rsidRPr="0031515E">
        <w:rPr>
          <w:rFonts w:ascii="Times New Roman" w:hAnsi="Times New Roman" w:cs="Times New Roman"/>
          <w:snapToGrid w:val="0"/>
          <w:color w:val="000000"/>
          <w:sz w:val="24"/>
          <w:szCs w:val="24"/>
        </w:rPr>
        <w:t xml:space="preserve">highly </w:t>
      </w:r>
      <w:r w:rsidRPr="0031515E">
        <w:rPr>
          <w:rFonts w:ascii="Times New Roman" w:hAnsi="Times New Roman" w:cs="Times New Roman"/>
          <w:snapToGrid w:val="0"/>
          <w:color w:val="000000"/>
          <w:sz w:val="24"/>
          <w:szCs w:val="24"/>
        </w:rPr>
        <w:t xml:space="preserve">statistically </w:t>
      </w:r>
      <w:r w:rsidR="00333D34" w:rsidRPr="0031515E">
        <w:rPr>
          <w:rFonts w:ascii="Times New Roman" w:hAnsi="Times New Roman" w:cs="Times New Roman"/>
          <w:snapToGrid w:val="0"/>
          <w:color w:val="000000"/>
          <w:sz w:val="24"/>
          <w:szCs w:val="24"/>
        </w:rPr>
        <w:t>significant for portfolios of</w:t>
      </w:r>
      <w:r w:rsidRPr="0031515E">
        <w:rPr>
          <w:rFonts w:ascii="Times New Roman" w:hAnsi="Times New Roman" w:cs="Times New Roman"/>
          <w:snapToGrid w:val="0"/>
          <w:color w:val="000000"/>
          <w:sz w:val="24"/>
          <w:szCs w:val="24"/>
        </w:rPr>
        <w:t xml:space="preserve"> </w:t>
      </w:r>
      <w:r w:rsidR="00333D34" w:rsidRPr="0031515E">
        <w:rPr>
          <w:rFonts w:ascii="Times New Roman" w:hAnsi="Times New Roman" w:cs="Times New Roman"/>
          <w:snapToGrid w:val="0"/>
          <w:color w:val="000000"/>
          <w:sz w:val="24"/>
          <w:szCs w:val="24"/>
        </w:rPr>
        <w:t>high carbon intensity stocks</w:t>
      </w:r>
      <w:r w:rsidRPr="0031515E">
        <w:rPr>
          <w:rFonts w:ascii="Times New Roman" w:hAnsi="Times New Roman" w:cs="Times New Roman"/>
          <w:snapToGrid w:val="0"/>
          <w:color w:val="000000"/>
          <w:sz w:val="24"/>
          <w:szCs w:val="24"/>
        </w:rPr>
        <w:t>, but not significant for</w:t>
      </w:r>
      <w:r w:rsidR="00333D34" w:rsidRPr="0031515E">
        <w:rPr>
          <w:rFonts w:ascii="Times New Roman" w:hAnsi="Times New Roman" w:cs="Times New Roman"/>
          <w:snapToGrid w:val="0"/>
          <w:color w:val="000000"/>
          <w:sz w:val="24"/>
          <w:szCs w:val="24"/>
        </w:rPr>
        <w:t xml:space="preserve"> portfolios of</w:t>
      </w:r>
      <w:r w:rsidRPr="0031515E">
        <w:rPr>
          <w:rFonts w:ascii="Times New Roman" w:hAnsi="Times New Roman" w:cs="Times New Roman"/>
          <w:snapToGrid w:val="0"/>
          <w:color w:val="000000"/>
          <w:sz w:val="24"/>
          <w:szCs w:val="24"/>
        </w:rPr>
        <w:t xml:space="preserve"> </w:t>
      </w:r>
      <w:r w:rsidR="00333D34" w:rsidRPr="0031515E">
        <w:rPr>
          <w:rFonts w:ascii="Times New Roman" w:hAnsi="Times New Roman" w:cs="Times New Roman"/>
          <w:snapToGrid w:val="0"/>
          <w:color w:val="000000"/>
          <w:sz w:val="24"/>
          <w:szCs w:val="24"/>
        </w:rPr>
        <w:t>low carbon intensity stocks.</w:t>
      </w:r>
      <w:r w:rsidR="007B1FE7" w:rsidRPr="0031515E">
        <w:rPr>
          <w:rFonts w:ascii="Times New Roman" w:hAnsi="Times New Roman" w:cs="Times New Roman"/>
          <w:snapToGrid w:val="0"/>
          <w:color w:val="000000"/>
          <w:sz w:val="24"/>
          <w:szCs w:val="24"/>
        </w:rPr>
        <w:t xml:space="preserve"> </w:t>
      </w:r>
      <w:r w:rsidR="0031515E" w:rsidRPr="0031515E">
        <w:rPr>
          <w:rFonts w:ascii="Times New Roman" w:hAnsi="Times New Roman" w:cs="Times New Roman"/>
          <w:snapToGrid w:val="0"/>
          <w:color w:val="000000"/>
          <w:sz w:val="24"/>
          <w:szCs w:val="24"/>
        </w:rPr>
        <w:t>The</w:t>
      </w:r>
      <w:r w:rsidR="007B1FE7" w:rsidRPr="0031515E">
        <w:rPr>
          <w:rFonts w:ascii="Times New Roman" w:hAnsi="Times New Roman" w:cs="Times New Roman"/>
          <w:snapToGrid w:val="0"/>
          <w:color w:val="000000"/>
          <w:sz w:val="24"/>
          <w:szCs w:val="24"/>
        </w:rPr>
        <w:t xml:space="preserve"> unexpected arrival of</w:t>
      </w:r>
      <w:r w:rsidR="009204D9" w:rsidRPr="0031515E">
        <w:rPr>
          <w:rFonts w:ascii="Times New Roman" w:hAnsi="Times New Roman" w:cs="Times New Roman"/>
          <w:snapToGrid w:val="0"/>
          <w:color w:val="000000"/>
          <w:sz w:val="24"/>
          <w:szCs w:val="24"/>
        </w:rPr>
        <w:t xml:space="preserve"> climate news</w:t>
      </w:r>
      <w:r w:rsidR="007B1FE7" w:rsidRPr="0031515E">
        <w:rPr>
          <w:rFonts w:ascii="Times New Roman" w:hAnsi="Times New Roman" w:cs="Times New Roman"/>
          <w:snapToGrid w:val="0"/>
          <w:color w:val="000000"/>
          <w:sz w:val="24"/>
          <w:szCs w:val="24"/>
        </w:rPr>
        <w:t xml:space="preserve"> across news sources </w:t>
      </w:r>
      <w:r w:rsidR="009204D9" w:rsidRPr="0031515E">
        <w:rPr>
          <w:rFonts w:ascii="Times New Roman" w:hAnsi="Times New Roman" w:cs="Times New Roman"/>
          <w:snapToGrid w:val="0"/>
          <w:color w:val="000000"/>
          <w:sz w:val="24"/>
          <w:szCs w:val="24"/>
        </w:rPr>
        <w:t>is</w:t>
      </w:r>
      <w:r w:rsidR="000901C3" w:rsidRPr="0031515E">
        <w:rPr>
          <w:rFonts w:ascii="Times New Roman" w:hAnsi="Times New Roman" w:cs="Times New Roman"/>
          <w:snapToGrid w:val="0"/>
          <w:color w:val="000000"/>
          <w:sz w:val="24"/>
          <w:szCs w:val="24"/>
        </w:rPr>
        <w:t xml:space="preserve"> </w:t>
      </w:r>
      <w:r w:rsidR="009204D9" w:rsidRPr="0031515E">
        <w:rPr>
          <w:rFonts w:ascii="Times New Roman" w:hAnsi="Times New Roman" w:cs="Times New Roman"/>
          <w:snapToGrid w:val="0"/>
          <w:color w:val="000000"/>
          <w:sz w:val="24"/>
          <w:szCs w:val="24"/>
        </w:rPr>
        <w:t xml:space="preserve">generally bad for </w:t>
      </w:r>
      <w:r w:rsidR="007B1FE7" w:rsidRPr="0031515E">
        <w:rPr>
          <w:rFonts w:ascii="Times New Roman" w:hAnsi="Times New Roman" w:cs="Times New Roman"/>
          <w:snapToGrid w:val="0"/>
          <w:color w:val="000000"/>
          <w:sz w:val="24"/>
          <w:szCs w:val="24"/>
        </w:rPr>
        <w:t xml:space="preserve">emissions-intensive assets. </w:t>
      </w:r>
    </w:p>
    <w:p w14:paraId="0C597682" w14:textId="1333F537" w:rsidR="00A70F70" w:rsidRPr="0031515E" w:rsidRDefault="002E6992" w:rsidP="00981B6A">
      <w:pPr>
        <w:pStyle w:val="Paragraphedeliste"/>
        <w:numPr>
          <w:ilvl w:val="0"/>
          <w:numId w:val="15"/>
        </w:numPr>
        <w:autoSpaceDE w:val="0"/>
        <w:autoSpaceDN w:val="0"/>
        <w:adjustRightInd w:val="0"/>
        <w:rPr>
          <w:rFonts w:ascii="Times New Roman" w:hAnsi="Times New Roman" w:cs="Times New Roman"/>
          <w:snapToGrid w:val="0"/>
          <w:color w:val="000000"/>
          <w:sz w:val="24"/>
          <w:szCs w:val="24"/>
        </w:rPr>
      </w:pPr>
      <w:r w:rsidRPr="0031515E">
        <w:rPr>
          <w:rFonts w:ascii="Times New Roman" w:hAnsi="Times New Roman" w:cs="Times New Roman"/>
          <w:snapToGrid w:val="0"/>
          <w:color w:val="000000"/>
          <w:sz w:val="24"/>
          <w:szCs w:val="24"/>
        </w:rPr>
        <w:t>The average return of portfolios of buying positions in low carbon intensity stocks and selling positions in high carbon intensity stocks consistently rises with the regime (low, medium, high) of the aggregated news index (across all index types), which supports the hypothesis that climate change concerns affect the longer-term performance of such portfolios.</w:t>
      </w:r>
    </w:p>
    <w:p w14:paraId="53E3B8C6" w14:textId="7262C5A3" w:rsidR="00AA2B4C" w:rsidRPr="0031515E" w:rsidRDefault="00847ECE" w:rsidP="00981B6A">
      <w:pPr>
        <w:pStyle w:val="Paragraphedeliste"/>
        <w:numPr>
          <w:ilvl w:val="0"/>
          <w:numId w:val="15"/>
        </w:numPr>
        <w:autoSpaceDE w:val="0"/>
        <w:autoSpaceDN w:val="0"/>
        <w:adjustRightInd w:val="0"/>
        <w:rPr>
          <w:rFonts w:ascii="Times New Roman" w:hAnsi="Times New Roman" w:cs="Times New Roman"/>
          <w:snapToGrid w:val="0"/>
          <w:color w:val="000000"/>
          <w:sz w:val="24"/>
          <w:szCs w:val="24"/>
        </w:rPr>
      </w:pPr>
      <w:r w:rsidRPr="0031515E">
        <w:rPr>
          <w:rFonts w:ascii="Times New Roman" w:hAnsi="Times New Roman" w:cs="Times New Roman"/>
          <w:snapToGrid w:val="0"/>
          <w:color w:val="000000"/>
          <w:sz w:val="24"/>
          <w:szCs w:val="24"/>
        </w:rPr>
        <w:t>T</w:t>
      </w:r>
      <w:r w:rsidR="00A87260" w:rsidRPr="0031515E">
        <w:rPr>
          <w:rFonts w:ascii="Times New Roman" w:hAnsi="Times New Roman" w:cs="Times New Roman"/>
          <w:snapToGrid w:val="0"/>
          <w:color w:val="000000"/>
          <w:sz w:val="24"/>
          <w:szCs w:val="24"/>
        </w:rPr>
        <w:t xml:space="preserve">he value added by advanced approaches relative to </w:t>
      </w:r>
      <w:r w:rsidR="00E00E55" w:rsidRPr="0031515E">
        <w:rPr>
          <w:rFonts w:ascii="Times New Roman" w:hAnsi="Times New Roman" w:cs="Times New Roman"/>
          <w:snapToGrid w:val="0"/>
          <w:color w:val="000000"/>
          <w:sz w:val="24"/>
          <w:szCs w:val="24"/>
        </w:rPr>
        <w:t xml:space="preserve">a </w:t>
      </w:r>
      <w:r w:rsidR="00A87260" w:rsidRPr="0031515E">
        <w:rPr>
          <w:rFonts w:ascii="Times New Roman" w:hAnsi="Times New Roman" w:cs="Times New Roman"/>
          <w:snapToGrid w:val="0"/>
          <w:color w:val="000000"/>
          <w:sz w:val="24"/>
          <w:szCs w:val="24"/>
        </w:rPr>
        <w:t>simple attention-based model is modest</w:t>
      </w:r>
      <w:r w:rsidR="00942189" w:rsidRPr="0031515E">
        <w:rPr>
          <w:rFonts w:ascii="Times New Roman" w:hAnsi="Times New Roman" w:cs="Times New Roman"/>
          <w:snapToGrid w:val="0"/>
          <w:color w:val="000000"/>
          <w:sz w:val="24"/>
          <w:szCs w:val="24"/>
        </w:rPr>
        <w:t xml:space="preserve">, </w:t>
      </w:r>
      <w:r w:rsidR="009A0302" w:rsidRPr="0031515E">
        <w:rPr>
          <w:rFonts w:ascii="Times New Roman" w:hAnsi="Times New Roman" w:cs="Times New Roman"/>
          <w:snapToGrid w:val="0"/>
          <w:color w:val="000000"/>
          <w:sz w:val="24"/>
          <w:szCs w:val="24"/>
        </w:rPr>
        <w:t>indicating</w:t>
      </w:r>
      <w:r w:rsidR="00E00E55" w:rsidRPr="0031515E">
        <w:rPr>
          <w:rFonts w:ascii="Times New Roman" w:hAnsi="Times New Roman" w:cs="Times New Roman"/>
          <w:snapToGrid w:val="0"/>
          <w:color w:val="000000"/>
          <w:sz w:val="24"/>
          <w:szCs w:val="24"/>
        </w:rPr>
        <w:t xml:space="preserve"> either </w:t>
      </w:r>
      <w:r w:rsidR="000815F5" w:rsidRPr="0031515E">
        <w:rPr>
          <w:rFonts w:ascii="Times New Roman" w:hAnsi="Times New Roman" w:cs="Times New Roman"/>
          <w:snapToGrid w:val="0"/>
          <w:color w:val="000000"/>
          <w:sz w:val="24"/>
          <w:szCs w:val="24"/>
        </w:rPr>
        <w:t>that it is the number of articles, rather than their content</w:t>
      </w:r>
      <w:r w:rsidR="002E46E1" w:rsidRPr="0031515E">
        <w:rPr>
          <w:rFonts w:ascii="Times New Roman" w:hAnsi="Times New Roman" w:cs="Times New Roman"/>
          <w:snapToGrid w:val="0"/>
          <w:color w:val="000000"/>
          <w:sz w:val="24"/>
          <w:szCs w:val="24"/>
        </w:rPr>
        <w:t>,</w:t>
      </w:r>
      <w:r w:rsidR="000815F5" w:rsidRPr="0031515E">
        <w:rPr>
          <w:rFonts w:ascii="Times New Roman" w:hAnsi="Times New Roman" w:cs="Times New Roman"/>
          <w:snapToGrid w:val="0"/>
          <w:color w:val="000000"/>
          <w:sz w:val="24"/>
          <w:szCs w:val="24"/>
        </w:rPr>
        <w:t xml:space="preserve"> that drives climate risk awareness</w:t>
      </w:r>
      <w:r w:rsidR="00E00E55" w:rsidRPr="0031515E">
        <w:rPr>
          <w:rFonts w:ascii="Times New Roman" w:hAnsi="Times New Roman" w:cs="Times New Roman"/>
          <w:snapToGrid w:val="0"/>
          <w:color w:val="000000"/>
          <w:sz w:val="24"/>
          <w:szCs w:val="24"/>
        </w:rPr>
        <w:t xml:space="preserve">, or that further progress is needed to </w:t>
      </w:r>
      <w:r w:rsidR="003A5534" w:rsidRPr="0031515E">
        <w:rPr>
          <w:rFonts w:ascii="Times New Roman" w:hAnsi="Times New Roman" w:cs="Times New Roman"/>
          <w:snapToGrid w:val="0"/>
          <w:color w:val="000000"/>
          <w:sz w:val="24"/>
          <w:szCs w:val="24"/>
        </w:rPr>
        <w:t xml:space="preserve">better </w:t>
      </w:r>
      <w:r w:rsidR="00E00E55" w:rsidRPr="0031515E">
        <w:rPr>
          <w:rFonts w:ascii="Times New Roman" w:hAnsi="Times New Roman" w:cs="Times New Roman"/>
          <w:snapToGrid w:val="0"/>
          <w:color w:val="000000"/>
          <w:sz w:val="24"/>
          <w:szCs w:val="24"/>
        </w:rPr>
        <w:t>extract sentiment from news sources.</w:t>
      </w:r>
    </w:p>
    <w:p w14:paraId="0BED826D" w14:textId="77777777" w:rsidR="00E00E55" w:rsidRPr="00A373FE" w:rsidRDefault="00E00E55" w:rsidP="000901C3">
      <w:pPr>
        <w:autoSpaceDE w:val="0"/>
        <w:autoSpaceDN w:val="0"/>
        <w:adjustRightInd w:val="0"/>
        <w:rPr>
          <w:snapToGrid w:val="0"/>
          <w:color w:val="000000"/>
        </w:rPr>
      </w:pPr>
    </w:p>
    <w:p w14:paraId="710FD9A8" w14:textId="3B607990" w:rsidR="003A5534" w:rsidRPr="00A373FE" w:rsidRDefault="00AA2B4C" w:rsidP="003A5534">
      <w:pPr>
        <w:autoSpaceDE w:val="0"/>
        <w:autoSpaceDN w:val="0"/>
        <w:adjustRightInd w:val="0"/>
        <w:rPr>
          <w:rFonts w:eastAsiaTheme="minorHAnsi"/>
          <w:lang w:val="en-SG" w:eastAsia="en-US"/>
        </w:rPr>
      </w:pPr>
      <w:r w:rsidRPr="00A373FE">
        <w:rPr>
          <w:snapToGrid w:val="0"/>
          <w:color w:val="000000"/>
        </w:rPr>
        <w:t xml:space="preserve">Commenting on this research, </w:t>
      </w:r>
      <w:r w:rsidR="003A5534" w:rsidRPr="00A373FE">
        <w:rPr>
          <w:snapToGrid w:val="0"/>
          <w:color w:val="000000"/>
        </w:rPr>
        <w:t>Timothée Jaulin, Head of ESG Development &amp; Advocacy</w:t>
      </w:r>
      <w:r w:rsidR="009E700F" w:rsidRPr="00A373FE">
        <w:rPr>
          <w:snapToGrid w:val="0"/>
          <w:color w:val="000000"/>
        </w:rPr>
        <w:t xml:space="preserve"> </w:t>
      </w:r>
      <w:r w:rsidR="003A5534" w:rsidRPr="00A373FE">
        <w:rPr>
          <w:snapToGrid w:val="0"/>
          <w:color w:val="000000"/>
        </w:rPr>
        <w:t>at Amundi, added: “Several pioneering papers have examined the link between climate news and equity market returns with a view to isolating “climate beta” that</w:t>
      </w:r>
      <w:r w:rsidR="003A5534" w:rsidRPr="00A373FE">
        <w:rPr>
          <w:rFonts w:eastAsiaTheme="minorHAnsi"/>
          <w:lang w:val="en-SG" w:eastAsia="en-US"/>
        </w:rPr>
        <w:t xml:space="preserve"> could be used to construct climate-risk hedging portfolios with easy-to-trade assets. This study goes a step further by applying state-of-the-art methods to the task and deriving new insights.”</w:t>
      </w:r>
    </w:p>
    <w:p w14:paraId="485AC60E" w14:textId="77777777" w:rsidR="003A5534" w:rsidRPr="00A373FE" w:rsidRDefault="003A5534" w:rsidP="003A5534">
      <w:pPr>
        <w:autoSpaceDE w:val="0"/>
        <w:autoSpaceDN w:val="0"/>
        <w:adjustRightInd w:val="0"/>
        <w:rPr>
          <w:rFonts w:eastAsiaTheme="minorHAnsi"/>
          <w:lang w:val="en-SG" w:eastAsia="en-US"/>
        </w:rPr>
      </w:pPr>
    </w:p>
    <w:p w14:paraId="6C78F13F" w14:textId="1B150C57" w:rsidR="00AA2B4C" w:rsidRPr="00A373FE" w:rsidRDefault="006F4CCE" w:rsidP="000901C3">
      <w:pPr>
        <w:autoSpaceDE w:val="0"/>
        <w:autoSpaceDN w:val="0"/>
        <w:adjustRightInd w:val="0"/>
        <w:rPr>
          <w:snapToGrid w:val="0"/>
          <w:color w:val="000000"/>
          <w:lang w:val="en-US"/>
        </w:rPr>
      </w:pPr>
      <w:r w:rsidRPr="00A373FE">
        <w:rPr>
          <w:snapToGrid w:val="0"/>
          <w:color w:val="000000"/>
        </w:rPr>
        <w:t>Frédéric Ducoulombier, Director of the EDHE</w:t>
      </w:r>
      <w:r w:rsidR="00AA2B4C" w:rsidRPr="00A373FE">
        <w:rPr>
          <w:snapToGrid w:val="0"/>
          <w:color w:val="000000"/>
        </w:rPr>
        <w:t xml:space="preserve">C-Risk Climate Impact Institute, </w:t>
      </w:r>
      <w:r w:rsidR="003A5534" w:rsidRPr="00A373FE">
        <w:rPr>
          <w:snapToGrid w:val="0"/>
          <w:color w:val="000000"/>
        </w:rPr>
        <w:t xml:space="preserve">added </w:t>
      </w:r>
      <w:r w:rsidR="00AA2B4C" w:rsidRPr="00A373FE">
        <w:rPr>
          <w:snapToGrid w:val="0"/>
          <w:color w:val="000000"/>
        </w:rPr>
        <w:t>“</w:t>
      </w:r>
      <w:r w:rsidR="003A5534" w:rsidRPr="00A373FE">
        <w:rPr>
          <w:rFonts w:eastAsiaTheme="minorHAnsi"/>
          <w:lang w:val="en-SG" w:eastAsia="en-US"/>
        </w:rPr>
        <w:t>Study results are consistent with the intuition that higher carbon intensity activities have higher exposure to the risks arising from climate change and climate change action. The finding that this relationship is statistically significant and of the right sign is good news; however, as in previous studies, the economic impact does not appear significant enough for comfort – one disquieting explanation for investors is that equity prices have yet to adjust to the climate emergency.”</w:t>
      </w:r>
    </w:p>
    <w:p w14:paraId="76CBFBC3" w14:textId="77777777" w:rsidR="00AA2B4C" w:rsidRPr="00A373FE" w:rsidRDefault="00AA2B4C" w:rsidP="00AA2B4C">
      <w:pPr>
        <w:spacing w:line="280" w:lineRule="atLeast"/>
        <w:jc w:val="both"/>
        <w:rPr>
          <w:snapToGrid w:val="0"/>
          <w:color w:val="000000"/>
        </w:rPr>
      </w:pPr>
    </w:p>
    <w:p w14:paraId="4AB5D9A1" w14:textId="77777777" w:rsidR="00F24A59" w:rsidRPr="00A373FE" w:rsidRDefault="00F24A59" w:rsidP="00AA2B4C">
      <w:pPr>
        <w:jc w:val="both"/>
      </w:pPr>
    </w:p>
    <w:p w14:paraId="44EC976C" w14:textId="015C3DA7" w:rsidR="00AA2B4C" w:rsidRPr="00A373FE" w:rsidRDefault="00AA2B4C" w:rsidP="00AA2B4C">
      <w:pPr>
        <w:jc w:val="both"/>
        <w:rPr>
          <w:snapToGrid w:val="0"/>
          <w:color w:val="000000"/>
        </w:rPr>
      </w:pPr>
      <w:r w:rsidRPr="00A373FE">
        <w:t>A copy</w:t>
      </w:r>
      <w:r w:rsidRPr="00A373FE">
        <w:rPr>
          <w:snapToGrid w:val="0"/>
          <w:color w:val="000000"/>
        </w:rPr>
        <w:t xml:space="preserve"> of the publication can be downloaded via the following link:</w:t>
      </w:r>
    </w:p>
    <w:p w14:paraId="71B196A1" w14:textId="77777777" w:rsidR="00AA2B4C" w:rsidRPr="00A373FE" w:rsidRDefault="00AA2B4C" w:rsidP="00AA2B4C">
      <w:pPr>
        <w:jc w:val="both"/>
      </w:pPr>
    </w:p>
    <w:p w14:paraId="705B4A66" w14:textId="55FF9C8C" w:rsidR="00AA2B4C" w:rsidRPr="00A373FE" w:rsidRDefault="00DD2AC2" w:rsidP="00FA02F2">
      <w:pPr>
        <w:jc w:val="both"/>
        <w:rPr>
          <w:snapToGrid w:val="0"/>
          <w:color w:val="000000"/>
        </w:rPr>
      </w:pPr>
      <w:hyperlink r:id="rId9" w:history="1">
        <w:r w:rsidR="00FA02F2" w:rsidRPr="00A373FE">
          <w:rPr>
            <w:rStyle w:val="Lienhypertexte"/>
            <w:snapToGrid w:val="0"/>
          </w:rPr>
          <w:t>The Impact of Climate Change News on Low-minus-High Carbon Intensity Portfolios</w:t>
        </w:r>
        <w:r w:rsidR="00AA2B4C" w:rsidRPr="00A373FE">
          <w:rPr>
            <w:rStyle w:val="Lienhypertexte"/>
            <w:snapToGrid w:val="0"/>
          </w:rPr>
          <w:t xml:space="preserve">, </w:t>
        </w:r>
        <w:r w:rsidR="000B1961" w:rsidRPr="00A373FE">
          <w:rPr>
            <w:rStyle w:val="Lienhypertexte"/>
            <w:snapToGrid w:val="0"/>
          </w:rPr>
          <w:t>EDHEC-Risk Climate Impact Institute</w:t>
        </w:r>
      </w:hyperlink>
    </w:p>
    <w:p w14:paraId="79421B12" w14:textId="77777777" w:rsidR="00AA2B4C" w:rsidRPr="00A373FE" w:rsidRDefault="00AA2B4C" w:rsidP="00AA2B4C">
      <w:pPr>
        <w:spacing w:line="280" w:lineRule="atLeast"/>
        <w:jc w:val="both"/>
        <w:rPr>
          <w:snapToGrid w:val="0"/>
          <w:color w:val="000000"/>
        </w:rPr>
      </w:pPr>
    </w:p>
    <w:p w14:paraId="51E10FD7" w14:textId="5923A0BE" w:rsidR="00AA2B4C" w:rsidRPr="00A373FE" w:rsidRDefault="00EA25D3" w:rsidP="00AA2B4C">
      <w:pPr>
        <w:autoSpaceDE w:val="0"/>
        <w:autoSpaceDN w:val="0"/>
        <w:adjustRightInd w:val="0"/>
        <w:jc w:val="both"/>
        <w:rPr>
          <w:snapToGrid w:val="0"/>
          <w:color w:val="000000"/>
          <w:sz w:val="22"/>
          <w:szCs w:val="22"/>
        </w:rPr>
      </w:pPr>
      <w:r w:rsidRPr="00A373FE">
        <w:rPr>
          <w:noProof/>
          <w:color w:val="000000"/>
          <w:sz w:val="22"/>
          <w:szCs w:val="22"/>
        </w:rPr>
        <mc:AlternateContent>
          <mc:Choice Requires="wps">
            <w:drawing>
              <wp:anchor distT="0" distB="0" distL="114300" distR="114300" simplePos="0" relativeHeight="251658240" behindDoc="1" locked="0" layoutInCell="1" allowOverlap="1" wp14:anchorId="46DA9135" wp14:editId="0567B5DC">
                <wp:simplePos x="0" y="0"/>
                <wp:positionH relativeFrom="column">
                  <wp:posOffset>-80645</wp:posOffset>
                </wp:positionH>
                <wp:positionV relativeFrom="paragraph">
                  <wp:posOffset>172720</wp:posOffset>
                </wp:positionV>
                <wp:extent cx="5829300" cy="9525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52500"/>
                        </a:xfrm>
                        <a:prstGeom prst="rect">
                          <a:avLst/>
                        </a:prstGeom>
                        <a:solidFill>
                          <a:srgbClr val="DDDDDD"/>
                        </a:solidFill>
                        <a:ln>
                          <a:noFill/>
                        </a:ln>
                        <a:extLst>
                          <a:ext uri="{91240B29-F687-4F45-9708-019B960494DF}">
                            <a14:hiddenLine xmlns:a14="http://schemas.microsoft.com/office/drawing/2010/main" w="12700">
                              <a:solidFill>
                                <a:srgbClr val="800000"/>
                              </a:solidFill>
                              <a:prstDash val="dashDot"/>
                              <a:miter lim="800000"/>
                              <a:headEnd/>
                              <a:tailEnd/>
                            </a14:hiddenLine>
                          </a:ext>
                        </a:extLst>
                      </wps:spPr>
                      <wps:bodyPr rot="0" vert="horz" wrap="square" lIns="91440" tIns="45720" rIns="91440" bIns="45720" anchor="t" anchorCtr="0" upright="1">
                        <a:noAutofit/>
                      </wps:bodyPr>
                    </wps:wsp>
                  </a:graphicData>
                </a:graphic>
              </wp:anchor>
            </w:drawing>
          </mc:Choice>
          <mc:Fallback xmlns:w16du="http://schemas.microsoft.com/office/word/2023/wordml/word16du">
            <w:pict>
              <v:rect w14:anchorId="7C7353F7" id="Rectangle 31" o:spid="_x0000_s1026" style="position:absolute;margin-left:-6.35pt;margin-top:13.6pt;width:459pt;height: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" fillcolor="#ddd" stroked="f" strokecolor="maroon" strokeweight="1pt">
                <v:stroke dashstyle="dashDot"/>
              </v:rect>
            </w:pict>
          </mc:Fallback>
        </mc:AlternateContent>
      </w:r>
    </w:p>
    <w:p w14:paraId="74638F65" w14:textId="7147E717" w:rsidR="00EA25D3" w:rsidRPr="00A373FE" w:rsidRDefault="00EA25D3" w:rsidP="00AA2B4C">
      <w:pPr>
        <w:tabs>
          <w:tab w:val="left" w:pos="3240"/>
        </w:tabs>
        <w:spacing w:line="280" w:lineRule="atLeast"/>
        <w:ind w:left="1622"/>
        <w:jc w:val="both"/>
        <w:rPr>
          <w:b/>
          <w:bCs/>
          <w:color w:val="800000"/>
        </w:rPr>
      </w:pPr>
      <w:r w:rsidRPr="00A373FE">
        <w:rPr>
          <w:noProof/>
        </w:rPr>
        <w:drawing>
          <wp:anchor distT="0" distB="0" distL="114300" distR="114300" simplePos="0" relativeHeight="251658241" behindDoc="0" locked="0" layoutInCell="1" allowOverlap="1" wp14:anchorId="630E774D" wp14:editId="6AF3671E">
            <wp:simplePos x="0" y="0"/>
            <wp:positionH relativeFrom="column">
              <wp:posOffset>157480</wp:posOffset>
            </wp:positionH>
            <wp:positionV relativeFrom="paragraph">
              <wp:posOffset>127635</wp:posOffset>
            </wp:positionV>
            <wp:extent cx="614045" cy="760095"/>
            <wp:effectExtent l="0" t="0" r="0" b="19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4045" cy="760095"/>
                    </a:xfrm>
                    <a:prstGeom prst="rect">
                      <a:avLst/>
                    </a:prstGeom>
                  </pic:spPr>
                </pic:pic>
              </a:graphicData>
            </a:graphic>
            <wp14:sizeRelH relativeFrom="margin">
              <wp14:pctWidth>0</wp14:pctWidth>
            </wp14:sizeRelH>
            <wp14:sizeRelV relativeFrom="margin">
              <wp14:pctHeight>0</wp14:pctHeight>
            </wp14:sizeRelV>
          </wp:anchor>
        </w:drawing>
      </w:r>
    </w:p>
    <w:p w14:paraId="422996C7" w14:textId="0604629D" w:rsidR="00AA2B4C" w:rsidRPr="00A373FE" w:rsidRDefault="00AA2B4C" w:rsidP="00AA2B4C">
      <w:pPr>
        <w:tabs>
          <w:tab w:val="left" w:pos="3240"/>
        </w:tabs>
        <w:spacing w:line="280" w:lineRule="atLeast"/>
        <w:ind w:left="1622"/>
        <w:jc w:val="both"/>
        <w:rPr>
          <w:b/>
          <w:bCs/>
          <w:color w:val="800000"/>
        </w:rPr>
      </w:pPr>
      <w:r w:rsidRPr="00A373FE">
        <w:rPr>
          <w:b/>
          <w:bCs/>
          <w:color w:val="800000"/>
        </w:rPr>
        <w:t>Contact:</w:t>
      </w:r>
    </w:p>
    <w:p w14:paraId="508A2ACE" w14:textId="3CE71F56" w:rsidR="00AA2B4C" w:rsidRPr="00A373FE" w:rsidRDefault="00AA2B4C" w:rsidP="00AA2B4C">
      <w:pPr>
        <w:tabs>
          <w:tab w:val="left" w:pos="3240"/>
        </w:tabs>
        <w:spacing w:line="280" w:lineRule="atLeast"/>
        <w:ind w:left="1620"/>
        <w:jc w:val="both"/>
        <w:rPr>
          <w:b/>
          <w:bCs/>
        </w:rPr>
      </w:pPr>
      <w:r w:rsidRPr="00A373FE">
        <w:t xml:space="preserve">For more information, please contact: </w:t>
      </w:r>
      <w:r w:rsidRPr="00A373FE">
        <w:rPr>
          <w:b/>
          <w:bCs/>
        </w:rPr>
        <w:t>Maud Gauchon</w:t>
      </w:r>
    </w:p>
    <w:p w14:paraId="5F990ADC" w14:textId="38B40E23" w:rsidR="00AA2B4C" w:rsidRPr="00A373FE" w:rsidRDefault="00AA2B4C" w:rsidP="00AA2B4C">
      <w:pPr>
        <w:tabs>
          <w:tab w:val="left" w:pos="3240"/>
        </w:tabs>
        <w:spacing w:line="280" w:lineRule="atLeast"/>
        <w:ind w:left="1620"/>
        <w:jc w:val="both"/>
        <w:rPr>
          <w:lang w:val="fr-FR"/>
        </w:rPr>
      </w:pPr>
      <w:r w:rsidRPr="00A373FE">
        <w:rPr>
          <w:lang w:val="fr-FR"/>
        </w:rPr>
        <w:t>Tel</w:t>
      </w:r>
      <w:proofErr w:type="gramStart"/>
      <w:r w:rsidRPr="00A373FE">
        <w:rPr>
          <w:lang w:val="fr-FR"/>
        </w:rPr>
        <w:t>.:</w:t>
      </w:r>
      <w:proofErr w:type="gramEnd"/>
      <w:r w:rsidRPr="00A373FE">
        <w:rPr>
          <w:lang w:val="fr-FR"/>
        </w:rPr>
        <w:t xml:space="preserve"> </w:t>
      </w:r>
      <w:r w:rsidRPr="00A373FE">
        <w:rPr>
          <w:b/>
          <w:bCs/>
          <w:lang w:val="fr-FR"/>
        </w:rPr>
        <w:t>+33 493 187 887</w:t>
      </w:r>
      <w:r w:rsidRPr="00A373FE">
        <w:rPr>
          <w:lang w:val="fr-FR"/>
        </w:rPr>
        <w:t xml:space="preserve"> – E-mail: </w:t>
      </w:r>
      <w:hyperlink r:id="rId11" w:history="1">
        <w:r w:rsidR="0092733D" w:rsidRPr="00A373FE">
          <w:rPr>
            <w:rStyle w:val="Lienhypertexte"/>
            <w:rFonts w:eastAsia="SimSun"/>
            <w:lang w:val="fr-FR"/>
          </w:rPr>
          <w:t>maud.gauchon@climateimpactedhec.com</w:t>
        </w:r>
      </w:hyperlink>
    </w:p>
    <w:p w14:paraId="0D427497" w14:textId="66B60682" w:rsidR="00AA2B4C" w:rsidRPr="00A373FE" w:rsidRDefault="00AA2B4C" w:rsidP="00AA2B4C">
      <w:pPr>
        <w:tabs>
          <w:tab w:val="left" w:pos="3240"/>
        </w:tabs>
        <w:spacing w:line="280" w:lineRule="atLeast"/>
        <w:ind w:left="1620"/>
      </w:pPr>
      <w:r w:rsidRPr="00A373FE">
        <w:t xml:space="preserve">To visit our web site: </w:t>
      </w:r>
      <w:hyperlink r:id="rId12" w:history="1">
        <w:r w:rsidR="00376304" w:rsidRPr="00A373FE">
          <w:rPr>
            <w:rStyle w:val="Lienhypertexte"/>
            <w:rFonts w:eastAsia="SimSun"/>
          </w:rPr>
          <w:t>https://climateimpact.edhec.edu/</w:t>
        </w:r>
      </w:hyperlink>
    </w:p>
    <w:p w14:paraId="497F7017" w14:textId="77777777" w:rsidR="00AA2B4C" w:rsidRPr="00A373FE" w:rsidRDefault="00AA2B4C" w:rsidP="00AA2B4C">
      <w:pPr>
        <w:spacing w:line="360" w:lineRule="auto"/>
        <w:jc w:val="both"/>
        <w:rPr>
          <w:b/>
          <w:bCs/>
          <w:sz w:val="28"/>
          <w:szCs w:val="28"/>
        </w:rPr>
      </w:pPr>
    </w:p>
    <w:p w14:paraId="38FBF4C7" w14:textId="77777777" w:rsidR="00AA2B4C" w:rsidRPr="00A373FE" w:rsidRDefault="00AA2B4C" w:rsidP="00AA2B4C">
      <w:pPr>
        <w:spacing w:line="360" w:lineRule="auto"/>
        <w:jc w:val="both"/>
        <w:rPr>
          <w:b/>
          <w:bCs/>
          <w:sz w:val="28"/>
          <w:szCs w:val="28"/>
        </w:rPr>
      </w:pPr>
    </w:p>
    <w:p w14:paraId="1AF186F5" w14:textId="61FA008E" w:rsidR="00AA2B4C" w:rsidRPr="00A373FE" w:rsidRDefault="00AA2B4C" w:rsidP="00AA2B4C">
      <w:pPr>
        <w:spacing w:line="360" w:lineRule="auto"/>
        <w:jc w:val="both"/>
        <w:rPr>
          <w:b/>
          <w:bCs/>
          <w:sz w:val="28"/>
          <w:szCs w:val="28"/>
        </w:rPr>
      </w:pPr>
      <w:r w:rsidRPr="00A373FE">
        <w:rPr>
          <w:b/>
          <w:bCs/>
          <w:sz w:val="28"/>
          <w:szCs w:val="28"/>
        </w:rPr>
        <w:t>About EDHEC-Risk</w:t>
      </w:r>
      <w:r w:rsidR="00F24A59" w:rsidRPr="00A373FE">
        <w:rPr>
          <w:b/>
          <w:bCs/>
          <w:sz w:val="28"/>
          <w:szCs w:val="28"/>
        </w:rPr>
        <w:t xml:space="preserve"> Climate Impact </w:t>
      </w:r>
      <w:r w:rsidRPr="00A373FE">
        <w:rPr>
          <w:b/>
          <w:bCs/>
          <w:sz w:val="28"/>
          <w:szCs w:val="28"/>
        </w:rPr>
        <w:t>Institute</w:t>
      </w:r>
    </w:p>
    <w:p w14:paraId="479207FD" w14:textId="2D2F63A8" w:rsidR="00AA2B4C" w:rsidRPr="00A373FE" w:rsidRDefault="00C66BBD" w:rsidP="00C66BBD">
      <w:pPr>
        <w:spacing w:line="280" w:lineRule="atLeast"/>
        <w:jc w:val="both"/>
        <w:rPr>
          <w:sz w:val="22"/>
          <w:szCs w:val="22"/>
        </w:rPr>
      </w:pPr>
      <w:r w:rsidRPr="00A373FE">
        <w:rPr>
          <w:b/>
          <w:bCs/>
          <w:sz w:val="22"/>
          <w:szCs w:val="22"/>
        </w:rPr>
        <w:t>Delivering Research Insights on Double Materiality to the Financial Community</w:t>
      </w:r>
    </w:p>
    <w:p w14:paraId="70DD7DCB" w14:textId="77777777" w:rsidR="00C66BBD" w:rsidRPr="00A373FE" w:rsidRDefault="00C66BBD" w:rsidP="00C66BBD">
      <w:pPr>
        <w:spacing w:line="280" w:lineRule="atLeast"/>
        <w:jc w:val="both"/>
        <w:rPr>
          <w:sz w:val="22"/>
          <w:szCs w:val="22"/>
        </w:rPr>
      </w:pPr>
    </w:p>
    <w:p w14:paraId="62732705" w14:textId="77777777" w:rsidR="008611C0" w:rsidRPr="00A373FE" w:rsidRDefault="008611C0" w:rsidP="008611C0">
      <w:pPr>
        <w:shd w:val="clear" w:color="auto" w:fill="FFFFFF"/>
        <w:spacing w:after="150"/>
        <w:jc w:val="both"/>
        <w:rPr>
          <w:color w:val="333333"/>
          <w:sz w:val="22"/>
          <w:szCs w:val="22"/>
        </w:rPr>
      </w:pPr>
      <w:r w:rsidRPr="00A373FE">
        <w:rPr>
          <w:color w:val="333333"/>
          <w:sz w:val="22"/>
          <w:szCs w:val="22"/>
        </w:rPr>
        <w:t>EDHEC-Risk Climate’s mission is to help private and public decision makers manage climate-related financial risks and make the best use of financial tools to support the transition to low-emission and climate-resilient economies.</w:t>
      </w:r>
    </w:p>
    <w:p w14:paraId="5F1E7FE0" w14:textId="77777777" w:rsidR="00C97DE7" w:rsidRPr="00A373FE" w:rsidRDefault="00C97DE7" w:rsidP="008611C0">
      <w:pPr>
        <w:shd w:val="clear" w:color="auto" w:fill="FFFFFF"/>
        <w:spacing w:after="150"/>
        <w:jc w:val="both"/>
        <w:rPr>
          <w:color w:val="333333"/>
          <w:sz w:val="22"/>
          <w:szCs w:val="22"/>
        </w:rPr>
      </w:pPr>
      <w:r w:rsidRPr="00A373FE">
        <w:rPr>
          <w:color w:val="333333"/>
          <w:sz w:val="22"/>
          <w:szCs w:val="22"/>
        </w:rPr>
        <w:t xml:space="preserve">Building upon the expertise and industry reputation developed by EDHEC-Risk Institute, EDHEC-Risk Climate’s central ambition is to become a leading academic reference point for long-term investors. Our goal is to help them manage the asset pricing and investment management implications of climate change as well as mitigation and adaptation efforts. </w:t>
      </w:r>
    </w:p>
    <w:p w14:paraId="65C7608B" w14:textId="6B624532" w:rsidR="000802CE" w:rsidRPr="00A373FE" w:rsidRDefault="00A37450" w:rsidP="00C66BBD">
      <w:pPr>
        <w:spacing w:line="280" w:lineRule="atLeast"/>
        <w:jc w:val="both"/>
        <w:rPr>
          <w:color w:val="333333"/>
          <w:sz w:val="22"/>
          <w:szCs w:val="22"/>
        </w:rPr>
      </w:pPr>
      <w:r w:rsidRPr="00A373FE">
        <w:rPr>
          <w:color w:val="333333"/>
          <w:sz w:val="22"/>
          <w:szCs w:val="22"/>
        </w:rPr>
        <w:t>EDHEC-Risk Climate also aims to play a noted role helping financial supervisors and policy makers assess climate-related risks in the financial system and understand their links with the real economy and advising on policy. We will help to provide the financial tools they need to mitigate those risks and optimise the contribution of finance to climate change mitigation and adaptation.</w:t>
      </w:r>
    </w:p>
    <w:p w14:paraId="23FC146D" w14:textId="77777777" w:rsidR="00A37450" w:rsidRPr="00A373FE" w:rsidRDefault="00A37450" w:rsidP="00C66BBD">
      <w:pPr>
        <w:spacing w:line="280" w:lineRule="atLeast"/>
        <w:jc w:val="both"/>
        <w:rPr>
          <w:sz w:val="22"/>
          <w:szCs w:val="22"/>
        </w:rPr>
      </w:pPr>
    </w:p>
    <w:p w14:paraId="67D4D382" w14:textId="066D29BB" w:rsidR="00C92231" w:rsidRPr="00A373FE" w:rsidRDefault="006D59B6" w:rsidP="00C92231">
      <w:pPr>
        <w:shd w:val="clear" w:color="auto" w:fill="FFFFFF"/>
        <w:spacing w:after="150"/>
        <w:jc w:val="both"/>
        <w:rPr>
          <w:color w:val="333333"/>
          <w:sz w:val="22"/>
          <w:szCs w:val="22"/>
        </w:rPr>
      </w:pPr>
      <w:r w:rsidRPr="00A373FE">
        <w:rPr>
          <w:color w:val="333333"/>
          <w:sz w:val="22"/>
          <w:szCs w:val="22"/>
        </w:rPr>
        <w:t>The delivery of these ambitions is centred around two long-term research programmes and a policy advocacy function. </w:t>
      </w:r>
      <w:r w:rsidR="00C92231" w:rsidRPr="00A373FE">
        <w:rPr>
          <w:color w:val="333333"/>
          <w:sz w:val="22"/>
          <w:szCs w:val="22"/>
        </w:rPr>
        <w:t>The research programmes respectively look at the Implications of Climate Change on Asset Pricing and Investment Management and the Impact of Finance on Climate Change Mitigation and Adaptation.</w:t>
      </w:r>
    </w:p>
    <w:p w14:paraId="6E04ECA7" w14:textId="77777777" w:rsidR="00655E6E" w:rsidRPr="00A373FE" w:rsidRDefault="00655E6E" w:rsidP="00655E6E">
      <w:pPr>
        <w:tabs>
          <w:tab w:val="left" w:pos="3000"/>
        </w:tabs>
        <w:rPr>
          <w:color w:val="000000" w:themeColor="text1"/>
          <w:sz w:val="22"/>
          <w:szCs w:val="22"/>
        </w:rPr>
      </w:pPr>
    </w:p>
    <w:p w14:paraId="3387D71D" w14:textId="77777777" w:rsidR="00655E6E" w:rsidRPr="00A373FE" w:rsidRDefault="00655E6E" w:rsidP="00655E6E">
      <w:pPr>
        <w:spacing w:line="280" w:lineRule="atLeast"/>
        <w:jc w:val="both"/>
        <w:rPr>
          <w:sz w:val="22"/>
          <w:szCs w:val="22"/>
        </w:rPr>
      </w:pPr>
      <w:r w:rsidRPr="00A373FE">
        <w:rPr>
          <w:sz w:val="22"/>
          <w:szCs w:val="22"/>
        </w:rPr>
        <w:t>Currently bringing together a dozen faculty members, researchers and staff, the Institute is endowed with a EUR20 million budget for its first five years of operation.</w:t>
      </w:r>
    </w:p>
    <w:p w14:paraId="4F1A003C" w14:textId="77777777" w:rsidR="00655E6E" w:rsidRPr="00A373FE" w:rsidRDefault="00655E6E" w:rsidP="00561BDF">
      <w:pPr>
        <w:tabs>
          <w:tab w:val="left" w:pos="3000"/>
        </w:tabs>
        <w:jc w:val="both"/>
        <w:rPr>
          <w:color w:val="000000" w:themeColor="text1"/>
          <w:sz w:val="22"/>
          <w:szCs w:val="22"/>
        </w:rPr>
      </w:pPr>
    </w:p>
    <w:p w14:paraId="4DDC0B17" w14:textId="137FB913" w:rsidR="00655E6E" w:rsidRPr="00A373FE" w:rsidRDefault="00655E6E" w:rsidP="00561BDF">
      <w:pPr>
        <w:tabs>
          <w:tab w:val="left" w:pos="3000"/>
        </w:tabs>
        <w:jc w:val="both"/>
        <w:rPr>
          <w:color w:val="000000" w:themeColor="text1"/>
          <w:sz w:val="22"/>
          <w:szCs w:val="22"/>
        </w:rPr>
      </w:pPr>
      <w:r w:rsidRPr="00A373FE">
        <w:rPr>
          <w:color w:val="000000" w:themeColor="text1"/>
          <w:sz w:val="22"/>
          <w:szCs w:val="22"/>
        </w:rPr>
        <w:t xml:space="preserve">The philosophy of the institute is to validate its work through publication in leading scientific journals, </w:t>
      </w:r>
      <w:r w:rsidRPr="00A373FE">
        <w:rPr>
          <w:sz w:val="22"/>
          <w:szCs w:val="22"/>
        </w:rPr>
        <w:t>but also to make this research available to professionals. In this regard, we participate in industry</w:t>
      </w:r>
      <w:r w:rsidR="00561BDF" w:rsidRPr="00A373FE">
        <w:rPr>
          <w:sz w:val="22"/>
          <w:szCs w:val="22"/>
        </w:rPr>
        <w:t xml:space="preserve"> </w:t>
      </w:r>
      <w:r w:rsidRPr="00A373FE">
        <w:rPr>
          <w:sz w:val="22"/>
          <w:szCs w:val="22"/>
        </w:rPr>
        <w:t xml:space="preserve">debate </w:t>
      </w:r>
      <w:r w:rsidRPr="00A373FE">
        <w:rPr>
          <w:color w:val="000000" w:themeColor="text1"/>
          <w:sz w:val="22"/>
          <w:szCs w:val="22"/>
        </w:rPr>
        <w:t xml:space="preserve">through position papers, published studies, online courses, webinars, </w:t>
      </w:r>
      <w:r w:rsidR="003A5534" w:rsidRPr="00A373FE">
        <w:rPr>
          <w:color w:val="000000" w:themeColor="text1"/>
          <w:sz w:val="22"/>
          <w:szCs w:val="22"/>
        </w:rPr>
        <w:t>seminars,</w:t>
      </w:r>
      <w:r w:rsidRPr="00A373FE">
        <w:rPr>
          <w:color w:val="000000" w:themeColor="text1"/>
          <w:sz w:val="22"/>
          <w:szCs w:val="22"/>
        </w:rPr>
        <w:t xml:space="preserve"> and global conferences.</w:t>
      </w:r>
    </w:p>
    <w:p w14:paraId="33BCA50A" w14:textId="77777777" w:rsidR="00655E6E" w:rsidRPr="00A373FE" w:rsidRDefault="00655E6E" w:rsidP="00561BDF">
      <w:pPr>
        <w:tabs>
          <w:tab w:val="left" w:pos="3000"/>
        </w:tabs>
        <w:jc w:val="both"/>
        <w:rPr>
          <w:color w:val="000000" w:themeColor="text1"/>
          <w:sz w:val="22"/>
          <w:szCs w:val="22"/>
        </w:rPr>
      </w:pPr>
    </w:p>
    <w:p w14:paraId="0DA25C82" w14:textId="61498C14" w:rsidR="00655E6E" w:rsidRPr="00A373FE" w:rsidRDefault="00655E6E" w:rsidP="00561BDF">
      <w:pPr>
        <w:tabs>
          <w:tab w:val="left" w:pos="3000"/>
        </w:tabs>
        <w:jc w:val="both"/>
        <w:rPr>
          <w:color w:val="000000" w:themeColor="text1"/>
          <w:sz w:val="22"/>
          <w:szCs w:val="22"/>
        </w:rPr>
      </w:pPr>
      <w:r w:rsidRPr="00A373FE">
        <w:rPr>
          <w:color w:val="000000" w:themeColor="text1"/>
          <w:sz w:val="22"/>
          <w:szCs w:val="22"/>
        </w:rPr>
        <w:t xml:space="preserve">To ensure the dissemination of our research to the investment industry, the institute provides professionals with access to its website, </w:t>
      </w:r>
      <w:hyperlink r:id="rId13" w:history="1">
        <w:r w:rsidRPr="00A373FE">
          <w:rPr>
            <w:rStyle w:val="Lienhypertexte"/>
            <w:sz w:val="22"/>
            <w:szCs w:val="22"/>
          </w:rPr>
          <w:t>https://climateimpact.edhec.edu</w:t>
        </w:r>
      </w:hyperlink>
      <w:r w:rsidRPr="00A373FE">
        <w:rPr>
          <w:color w:val="000000" w:themeColor="text1"/>
          <w:sz w:val="22"/>
          <w:szCs w:val="22"/>
        </w:rPr>
        <w:t>. This resource is devoted to the study of the consequences of climate change on the economy and on the financial system. Our quarterly newsletter is distributed to more than 1</w:t>
      </w:r>
      <w:r w:rsidR="00394E54" w:rsidRPr="00A373FE">
        <w:rPr>
          <w:color w:val="000000" w:themeColor="text1"/>
          <w:sz w:val="22"/>
          <w:szCs w:val="22"/>
        </w:rPr>
        <w:t>0</w:t>
      </w:r>
      <w:r w:rsidRPr="00A373FE">
        <w:rPr>
          <w:color w:val="000000" w:themeColor="text1"/>
          <w:sz w:val="22"/>
          <w:szCs w:val="22"/>
        </w:rPr>
        <w:t>0,000 readers.</w:t>
      </w:r>
    </w:p>
    <w:p w14:paraId="5597CDD2" w14:textId="77777777" w:rsidR="00C66BBD" w:rsidRPr="00A373FE" w:rsidRDefault="00C66BBD" w:rsidP="00561BDF">
      <w:pPr>
        <w:spacing w:line="280" w:lineRule="atLeast"/>
        <w:jc w:val="both"/>
        <w:rPr>
          <w:sz w:val="22"/>
          <w:szCs w:val="22"/>
        </w:rPr>
      </w:pPr>
    </w:p>
    <w:p w14:paraId="5F57E306" w14:textId="66B12D4B" w:rsidR="00C66BBD" w:rsidRPr="00A373FE" w:rsidRDefault="00561BDF" w:rsidP="00561BDF">
      <w:pPr>
        <w:spacing w:line="280" w:lineRule="atLeast"/>
        <w:jc w:val="both"/>
        <w:rPr>
          <w:sz w:val="22"/>
          <w:szCs w:val="22"/>
        </w:rPr>
      </w:pPr>
      <w:r w:rsidRPr="00A373FE">
        <w:rPr>
          <w:color w:val="333333"/>
          <w:sz w:val="22"/>
          <w:szCs w:val="22"/>
        </w:rPr>
        <w:t>Institute researchers support the integration of climate-related issues into the curricula of EDHEC Business School programmes</w:t>
      </w:r>
      <w:r w:rsidR="00F862C7" w:rsidRPr="00A373FE">
        <w:rPr>
          <w:color w:val="333333"/>
          <w:sz w:val="22"/>
          <w:szCs w:val="22"/>
        </w:rPr>
        <w:t>.</w:t>
      </w:r>
    </w:p>
    <w:p w14:paraId="12F27856" w14:textId="630439C6" w:rsidR="00C209B1" w:rsidRPr="00A373FE" w:rsidRDefault="00C209B1" w:rsidP="00561BDF">
      <w:pPr>
        <w:shd w:val="clear" w:color="auto" w:fill="FFFFFF"/>
        <w:spacing w:before="240" w:after="105"/>
        <w:jc w:val="both"/>
        <w:rPr>
          <w:sz w:val="22"/>
          <w:szCs w:val="22"/>
        </w:rPr>
      </w:pPr>
      <w:r w:rsidRPr="00A373FE">
        <w:rPr>
          <w:color w:val="333333"/>
          <w:sz w:val="22"/>
          <w:szCs w:val="22"/>
        </w:rPr>
        <w:t xml:space="preserve">The Institute also supports the integration of climate issues into the research agenda of the </w:t>
      </w:r>
      <w:proofErr w:type="gramStart"/>
      <w:r w:rsidRPr="00A373FE">
        <w:rPr>
          <w:color w:val="333333"/>
          <w:sz w:val="22"/>
          <w:szCs w:val="22"/>
        </w:rPr>
        <w:t>School’s</w:t>
      </w:r>
      <w:proofErr w:type="gramEnd"/>
      <w:r w:rsidRPr="00A373FE">
        <w:rPr>
          <w:color w:val="333333"/>
          <w:sz w:val="22"/>
          <w:szCs w:val="22"/>
        </w:rPr>
        <w:t xml:space="preserve"> other financial research centres and into the product offering of the School’s business ventures. In particular, it helps </w:t>
      </w:r>
      <w:r w:rsidR="004C46C8" w:rsidRPr="00A373FE">
        <w:rPr>
          <w:color w:val="333333"/>
          <w:sz w:val="22"/>
          <w:szCs w:val="22"/>
        </w:rPr>
        <w:t xml:space="preserve">the </w:t>
      </w:r>
      <w:hyperlink r:id="rId14" w:history="1">
        <w:r w:rsidRPr="00A373FE">
          <w:rPr>
            <w:rStyle w:val="Lienhypertexte"/>
            <w:sz w:val="22"/>
            <w:szCs w:val="22"/>
          </w:rPr>
          <w:t>E</w:t>
        </w:r>
        <w:r w:rsidR="002B0C63" w:rsidRPr="00A373FE">
          <w:rPr>
            <w:rStyle w:val="Lienhypertexte"/>
            <w:sz w:val="22"/>
            <w:szCs w:val="22"/>
          </w:rPr>
          <w:t>DHEC Infra &amp; Private Assets</w:t>
        </w:r>
        <w:r w:rsidR="002516AE" w:rsidRPr="00A373FE">
          <w:rPr>
            <w:rStyle w:val="Lienhypertexte"/>
            <w:i/>
            <w:iCs/>
            <w:sz w:val="22"/>
            <w:szCs w:val="22"/>
          </w:rPr>
          <w:t xml:space="preserve"> </w:t>
        </w:r>
        <w:r w:rsidR="002516AE" w:rsidRPr="00A373FE">
          <w:rPr>
            <w:rStyle w:val="Lienhypertexte"/>
            <w:sz w:val="22"/>
            <w:szCs w:val="22"/>
          </w:rPr>
          <w:t>Research</w:t>
        </w:r>
        <w:r w:rsidR="002516AE" w:rsidRPr="00A373FE">
          <w:rPr>
            <w:rStyle w:val="Lienhypertexte"/>
            <w:i/>
            <w:iCs/>
            <w:sz w:val="22"/>
            <w:szCs w:val="22"/>
          </w:rPr>
          <w:t xml:space="preserve"> </w:t>
        </w:r>
        <w:r w:rsidR="002516AE" w:rsidRPr="00A373FE">
          <w:rPr>
            <w:rStyle w:val="Lienhypertexte"/>
            <w:sz w:val="22"/>
            <w:szCs w:val="22"/>
          </w:rPr>
          <w:t>Institute</w:t>
        </w:r>
      </w:hyperlink>
      <w:r w:rsidRPr="00A373FE">
        <w:rPr>
          <w:color w:val="333333"/>
          <w:sz w:val="22"/>
          <w:szCs w:val="22"/>
        </w:rPr>
        <w:t xml:space="preserve"> build capacity on</w:t>
      </w:r>
      <w:r w:rsidRPr="00A373FE">
        <w:rPr>
          <w:sz w:val="22"/>
          <w:szCs w:val="22"/>
        </w:rPr>
        <w:t xml:space="preserve"> </w:t>
      </w:r>
      <w:r w:rsidRPr="00A373FE">
        <w:rPr>
          <w:color w:val="333333"/>
          <w:sz w:val="22"/>
          <w:szCs w:val="22"/>
        </w:rPr>
        <w:t xml:space="preserve">sectoral alignment and transition plans.   </w:t>
      </w:r>
    </w:p>
    <w:p w14:paraId="4DEAFEE3" w14:textId="77777777" w:rsidR="00C66BBD" w:rsidRPr="00A373FE" w:rsidRDefault="00C66BBD" w:rsidP="00C66BBD">
      <w:pPr>
        <w:spacing w:line="280" w:lineRule="atLeast"/>
        <w:jc w:val="both"/>
        <w:rPr>
          <w:sz w:val="22"/>
          <w:szCs w:val="22"/>
        </w:rPr>
      </w:pPr>
    </w:p>
    <w:p w14:paraId="09D85E7D" w14:textId="77777777" w:rsidR="00AA2B4C" w:rsidRPr="00A373FE" w:rsidRDefault="00AA2B4C" w:rsidP="00AA2B4C">
      <w:pPr>
        <w:jc w:val="both"/>
        <w:rPr>
          <w:color w:val="000000" w:themeColor="text1"/>
          <w:sz w:val="22"/>
          <w:szCs w:val="22"/>
        </w:rPr>
      </w:pPr>
    </w:p>
    <w:p w14:paraId="386F6E92" w14:textId="7181269E" w:rsidR="00AA2B4C" w:rsidRPr="00A373FE" w:rsidRDefault="001F0F09" w:rsidP="00AA2B4C">
      <w:pPr>
        <w:autoSpaceDE w:val="0"/>
        <w:autoSpaceDN w:val="0"/>
        <w:adjustRightInd w:val="0"/>
        <w:ind w:left="708" w:firstLine="708"/>
        <w:rPr>
          <w:sz w:val="16"/>
          <w:szCs w:val="16"/>
          <w:lang w:val="fr-FR" w:eastAsia="zh-CN"/>
        </w:rPr>
      </w:pPr>
      <w:r w:rsidRPr="00A373FE">
        <w:rPr>
          <w:sz w:val="16"/>
          <w:szCs w:val="16"/>
          <w:lang w:val="fr-FR" w:eastAsia="zh-CN"/>
        </w:rPr>
        <w:t>400</w:t>
      </w:r>
      <w:r w:rsidR="00AA2B4C" w:rsidRPr="00A373FE">
        <w:rPr>
          <w:sz w:val="16"/>
          <w:szCs w:val="16"/>
          <w:lang w:val="fr-FR" w:eastAsia="zh-CN"/>
        </w:rPr>
        <w:t xml:space="preserve"> </w:t>
      </w:r>
      <w:proofErr w:type="gramStart"/>
      <w:r w:rsidR="00AA2B4C" w:rsidRPr="00A373FE">
        <w:rPr>
          <w:sz w:val="16"/>
          <w:szCs w:val="16"/>
          <w:lang w:val="fr-FR" w:eastAsia="zh-CN"/>
        </w:rPr>
        <w:t>promenade</w:t>
      </w:r>
      <w:proofErr w:type="gramEnd"/>
      <w:r w:rsidR="00AA2B4C" w:rsidRPr="00A373FE">
        <w:rPr>
          <w:sz w:val="16"/>
          <w:szCs w:val="16"/>
          <w:lang w:val="fr-FR" w:eastAsia="zh-CN"/>
        </w:rPr>
        <w:t xml:space="preserve"> des Anglais</w:t>
      </w:r>
      <w:r w:rsidR="00AA2B4C" w:rsidRPr="00A373FE">
        <w:rPr>
          <w:sz w:val="16"/>
          <w:szCs w:val="16"/>
          <w:lang w:val="fr-FR" w:eastAsia="zh-CN"/>
        </w:rPr>
        <w:tab/>
      </w:r>
      <w:r w:rsidR="00AA2B4C" w:rsidRPr="00A373FE">
        <w:rPr>
          <w:sz w:val="16"/>
          <w:szCs w:val="16"/>
          <w:lang w:val="fr-FR" w:eastAsia="zh-CN"/>
        </w:rPr>
        <w:tab/>
      </w:r>
      <w:r w:rsidR="00AA2B4C" w:rsidRPr="00A373FE">
        <w:rPr>
          <w:sz w:val="16"/>
          <w:szCs w:val="16"/>
          <w:lang w:val="fr-FR" w:eastAsia="zh-CN"/>
        </w:rPr>
        <w:tab/>
      </w:r>
      <w:r w:rsidR="00AA2B4C" w:rsidRPr="00A373FE">
        <w:rPr>
          <w:sz w:val="16"/>
          <w:szCs w:val="16"/>
          <w:lang w:val="fr-FR" w:eastAsia="zh-CN"/>
        </w:rPr>
        <w:tab/>
      </w:r>
      <w:r w:rsidR="00AA2B4C" w:rsidRPr="00A373FE">
        <w:rPr>
          <w:sz w:val="16"/>
          <w:szCs w:val="16"/>
          <w:lang w:val="fr-FR" w:eastAsia="zh-CN"/>
        </w:rPr>
        <w:tab/>
        <w:t>10 Fleet Place, Ludgate</w:t>
      </w:r>
    </w:p>
    <w:p w14:paraId="25F1AF62" w14:textId="77777777" w:rsidR="00AA2B4C" w:rsidRPr="00A373FE" w:rsidRDefault="00AA2B4C" w:rsidP="00AA2B4C">
      <w:pPr>
        <w:autoSpaceDE w:val="0"/>
        <w:autoSpaceDN w:val="0"/>
        <w:adjustRightInd w:val="0"/>
        <w:ind w:left="708" w:firstLine="708"/>
        <w:rPr>
          <w:sz w:val="16"/>
          <w:szCs w:val="16"/>
          <w:lang w:eastAsia="zh-CN"/>
        </w:rPr>
      </w:pPr>
      <w:r w:rsidRPr="00A373FE">
        <w:rPr>
          <w:sz w:val="16"/>
          <w:szCs w:val="16"/>
          <w:lang w:eastAsia="zh-CN"/>
        </w:rPr>
        <w:t>BP 3116 - 06202 Nice Cedex 3</w:t>
      </w:r>
      <w:r w:rsidRPr="00A373FE">
        <w:rPr>
          <w:sz w:val="16"/>
          <w:szCs w:val="16"/>
          <w:lang w:eastAsia="zh-CN"/>
        </w:rPr>
        <w:tab/>
      </w:r>
      <w:r w:rsidRPr="00A373FE">
        <w:rPr>
          <w:sz w:val="16"/>
          <w:szCs w:val="16"/>
          <w:lang w:eastAsia="zh-CN"/>
        </w:rPr>
        <w:tab/>
      </w:r>
      <w:r w:rsidRPr="00A373FE">
        <w:rPr>
          <w:sz w:val="16"/>
          <w:szCs w:val="16"/>
          <w:lang w:eastAsia="zh-CN"/>
        </w:rPr>
        <w:tab/>
      </w:r>
      <w:r w:rsidRPr="00A373FE">
        <w:rPr>
          <w:sz w:val="16"/>
          <w:szCs w:val="16"/>
          <w:lang w:eastAsia="zh-CN"/>
        </w:rPr>
        <w:tab/>
      </w:r>
      <w:r w:rsidRPr="00A373FE">
        <w:rPr>
          <w:sz w:val="16"/>
          <w:szCs w:val="16"/>
          <w:lang w:eastAsia="zh-CN"/>
        </w:rPr>
        <w:tab/>
        <w:t>London EC4M 7RB</w:t>
      </w:r>
      <w:r w:rsidRPr="00A373FE">
        <w:rPr>
          <w:sz w:val="16"/>
          <w:szCs w:val="16"/>
          <w:lang w:eastAsia="zh-CN"/>
        </w:rPr>
        <w:tab/>
      </w:r>
      <w:r w:rsidRPr="00A373FE">
        <w:rPr>
          <w:sz w:val="16"/>
          <w:szCs w:val="16"/>
          <w:lang w:eastAsia="zh-CN"/>
        </w:rPr>
        <w:tab/>
      </w:r>
    </w:p>
    <w:p w14:paraId="43E1FBFF" w14:textId="77777777" w:rsidR="00AA2B4C" w:rsidRPr="00A373FE" w:rsidRDefault="00AA2B4C" w:rsidP="00AA2B4C">
      <w:pPr>
        <w:autoSpaceDE w:val="0"/>
        <w:autoSpaceDN w:val="0"/>
        <w:adjustRightInd w:val="0"/>
        <w:ind w:left="708" w:firstLine="708"/>
        <w:rPr>
          <w:sz w:val="16"/>
          <w:szCs w:val="16"/>
          <w:lang w:eastAsia="zh-CN"/>
        </w:rPr>
      </w:pPr>
      <w:r w:rsidRPr="00A373FE">
        <w:rPr>
          <w:sz w:val="16"/>
          <w:szCs w:val="16"/>
          <w:lang w:eastAsia="zh-CN"/>
        </w:rPr>
        <w:t>France</w:t>
      </w:r>
      <w:r w:rsidRPr="00A373FE">
        <w:rPr>
          <w:sz w:val="16"/>
          <w:szCs w:val="16"/>
          <w:lang w:eastAsia="zh-CN"/>
        </w:rPr>
        <w:tab/>
      </w:r>
      <w:r w:rsidRPr="00A373FE">
        <w:rPr>
          <w:sz w:val="16"/>
          <w:szCs w:val="16"/>
          <w:lang w:eastAsia="zh-CN"/>
        </w:rPr>
        <w:tab/>
      </w:r>
      <w:r w:rsidRPr="00A373FE">
        <w:rPr>
          <w:sz w:val="16"/>
          <w:szCs w:val="16"/>
          <w:lang w:eastAsia="zh-CN"/>
        </w:rPr>
        <w:tab/>
      </w:r>
      <w:r w:rsidRPr="00A373FE">
        <w:rPr>
          <w:sz w:val="16"/>
          <w:szCs w:val="16"/>
          <w:lang w:eastAsia="zh-CN"/>
        </w:rPr>
        <w:tab/>
      </w:r>
      <w:r w:rsidRPr="00A373FE">
        <w:rPr>
          <w:sz w:val="16"/>
          <w:szCs w:val="16"/>
          <w:lang w:eastAsia="zh-CN"/>
        </w:rPr>
        <w:tab/>
      </w:r>
      <w:r w:rsidRPr="00A373FE">
        <w:rPr>
          <w:sz w:val="16"/>
          <w:szCs w:val="16"/>
          <w:lang w:eastAsia="zh-CN"/>
        </w:rPr>
        <w:tab/>
      </w:r>
      <w:r w:rsidRPr="00A373FE">
        <w:rPr>
          <w:sz w:val="16"/>
          <w:szCs w:val="16"/>
          <w:lang w:eastAsia="zh-CN"/>
        </w:rPr>
        <w:tab/>
        <w:t>United Kingdom</w:t>
      </w:r>
      <w:r w:rsidRPr="00A373FE">
        <w:rPr>
          <w:sz w:val="16"/>
          <w:szCs w:val="16"/>
          <w:lang w:eastAsia="zh-CN"/>
        </w:rPr>
        <w:tab/>
      </w:r>
      <w:r w:rsidRPr="00A373FE">
        <w:rPr>
          <w:sz w:val="16"/>
          <w:szCs w:val="16"/>
          <w:lang w:eastAsia="zh-CN"/>
        </w:rPr>
        <w:tab/>
      </w:r>
    </w:p>
    <w:p w14:paraId="4F8D44B8" w14:textId="77777777" w:rsidR="00AA2B4C" w:rsidRPr="00A373FE" w:rsidRDefault="00AA2B4C" w:rsidP="00AA2B4C">
      <w:pPr>
        <w:autoSpaceDE w:val="0"/>
        <w:autoSpaceDN w:val="0"/>
        <w:adjustRightInd w:val="0"/>
        <w:ind w:left="708" w:firstLine="708"/>
        <w:rPr>
          <w:sz w:val="16"/>
          <w:szCs w:val="16"/>
          <w:lang w:eastAsia="zh-CN"/>
        </w:rPr>
      </w:pPr>
      <w:r w:rsidRPr="00A373FE">
        <w:rPr>
          <w:sz w:val="16"/>
          <w:szCs w:val="16"/>
          <w:lang w:eastAsia="zh-CN"/>
        </w:rPr>
        <w:t>Tel: +33 493 187 887</w:t>
      </w:r>
      <w:r w:rsidRPr="00A373FE">
        <w:rPr>
          <w:sz w:val="16"/>
          <w:szCs w:val="16"/>
          <w:lang w:eastAsia="zh-CN"/>
        </w:rPr>
        <w:tab/>
      </w:r>
      <w:r w:rsidRPr="00A373FE">
        <w:rPr>
          <w:sz w:val="16"/>
          <w:szCs w:val="16"/>
          <w:lang w:eastAsia="zh-CN"/>
        </w:rPr>
        <w:tab/>
      </w:r>
      <w:r w:rsidRPr="00A373FE">
        <w:rPr>
          <w:sz w:val="16"/>
          <w:szCs w:val="16"/>
          <w:lang w:eastAsia="zh-CN"/>
        </w:rPr>
        <w:tab/>
      </w:r>
      <w:r w:rsidRPr="00A373FE">
        <w:rPr>
          <w:sz w:val="16"/>
          <w:szCs w:val="16"/>
          <w:lang w:eastAsia="zh-CN"/>
        </w:rPr>
        <w:tab/>
      </w:r>
      <w:r w:rsidRPr="00A373FE">
        <w:rPr>
          <w:sz w:val="16"/>
          <w:szCs w:val="16"/>
          <w:lang w:eastAsia="zh-CN"/>
        </w:rPr>
        <w:tab/>
      </w:r>
      <w:r w:rsidRPr="00A373FE">
        <w:rPr>
          <w:sz w:val="16"/>
          <w:szCs w:val="16"/>
          <w:lang w:eastAsia="zh-CN"/>
        </w:rPr>
        <w:tab/>
        <w:t>Tel: + 44 207 332 5600</w:t>
      </w:r>
      <w:r w:rsidRPr="00A373FE">
        <w:rPr>
          <w:sz w:val="16"/>
          <w:szCs w:val="16"/>
          <w:lang w:eastAsia="zh-CN"/>
        </w:rPr>
        <w:tab/>
      </w:r>
    </w:p>
    <w:p w14:paraId="799233F0" w14:textId="77777777" w:rsidR="00AA2B4C" w:rsidRPr="00A373FE" w:rsidRDefault="00AA2B4C" w:rsidP="00AA2B4C">
      <w:pPr>
        <w:autoSpaceDE w:val="0"/>
        <w:autoSpaceDN w:val="0"/>
        <w:adjustRightInd w:val="0"/>
        <w:ind w:left="708" w:firstLine="708"/>
        <w:rPr>
          <w:sz w:val="16"/>
          <w:szCs w:val="16"/>
          <w:lang w:eastAsia="zh-CN"/>
        </w:rPr>
      </w:pPr>
      <w:r w:rsidRPr="00A373FE">
        <w:rPr>
          <w:sz w:val="16"/>
          <w:szCs w:val="16"/>
          <w:lang w:eastAsia="zh-CN"/>
        </w:rPr>
        <w:tab/>
      </w:r>
    </w:p>
    <w:p w14:paraId="78DF6A02" w14:textId="77777777" w:rsidR="00AA2B4C" w:rsidRPr="00A373FE" w:rsidRDefault="00AA2B4C" w:rsidP="00AA2B4C">
      <w:pPr>
        <w:autoSpaceDE w:val="0"/>
        <w:autoSpaceDN w:val="0"/>
        <w:adjustRightInd w:val="0"/>
        <w:ind w:firstLine="708"/>
        <w:jc w:val="center"/>
        <w:rPr>
          <w:rStyle w:val="Lienhypertexte"/>
        </w:rPr>
      </w:pPr>
    </w:p>
    <w:p w14:paraId="2DF2B741" w14:textId="77777777" w:rsidR="00AA2B4C" w:rsidRPr="00A373FE" w:rsidRDefault="00AA2B4C" w:rsidP="00AA2B4C">
      <w:pPr>
        <w:rPr>
          <w:b/>
          <w:bCs/>
          <w:sz w:val="28"/>
          <w:szCs w:val="28"/>
        </w:rPr>
      </w:pPr>
    </w:p>
    <w:p w14:paraId="536CFB13" w14:textId="1CFF5650" w:rsidR="00AA2B4C" w:rsidRDefault="00AA2B4C" w:rsidP="00AA2B4C">
      <w:pPr>
        <w:rPr>
          <w:b/>
          <w:bCs/>
          <w:sz w:val="28"/>
          <w:szCs w:val="28"/>
        </w:rPr>
      </w:pPr>
      <w:r w:rsidRPr="00A373FE">
        <w:rPr>
          <w:b/>
          <w:bCs/>
          <w:sz w:val="28"/>
          <w:szCs w:val="28"/>
        </w:rPr>
        <w:t xml:space="preserve">About Amundi </w:t>
      </w:r>
    </w:p>
    <w:p w14:paraId="1996BD45" w14:textId="77777777" w:rsidR="00A711A8" w:rsidRDefault="00A711A8" w:rsidP="00AA2B4C">
      <w:pPr>
        <w:rPr>
          <w:b/>
          <w:bCs/>
          <w:sz w:val="28"/>
          <w:szCs w:val="28"/>
        </w:rPr>
      </w:pPr>
    </w:p>
    <w:p w14:paraId="6348A804" w14:textId="622A61F7" w:rsidR="00A711A8" w:rsidRPr="00A711A8" w:rsidRDefault="00A711A8" w:rsidP="00FB7904">
      <w:pPr>
        <w:jc w:val="both"/>
        <w:rPr>
          <w:color w:val="333333"/>
          <w:sz w:val="22"/>
          <w:szCs w:val="22"/>
          <w:lang w:val="en-US"/>
        </w:rPr>
      </w:pPr>
      <w:r w:rsidRPr="00A711A8">
        <w:rPr>
          <w:color w:val="333333"/>
          <w:sz w:val="22"/>
          <w:szCs w:val="22"/>
          <w:lang w:val="en-US"/>
        </w:rPr>
        <w:t>Amundi, the leading European asset manager, ranking among the top 10 global players</w:t>
      </w:r>
      <w:r w:rsidR="00FB7904">
        <w:rPr>
          <w:color w:val="333333"/>
          <w:sz w:val="22"/>
          <w:szCs w:val="22"/>
          <w:lang w:val="en-US"/>
        </w:rPr>
        <w:t xml:space="preserve"> </w:t>
      </w:r>
      <w:r w:rsidR="00970666" w:rsidRPr="00A373FE">
        <w:rPr>
          <w:color w:val="333333"/>
          <w:sz w:val="22"/>
          <w:szCs w:val="22"/>
          <w:lang w:val="en-US"/>
        </w:rPr>
        <w:t>[1]</w:t>
      </w:r>
      <w:r w:rsidRPr="00A711A8">
        <w:rPr>
          <w:color w:val="333333"/>
          <w:sz w:val="22"/>
          <w:szCs w:val="22"/>
          <w:lang w:val="en-US"/>
        </w:rPr>
        <w:t>, offers its 100 million clients - retail, institutional and corporate - a complete range of savings and investment</w:t>
      </w:r>
      <w:r>
        <w:rPr>
          <w:color w:val="333333"/>
          <w:sz w:val="22"/>
          <w:szCs w:val="22"/>
          <w:lang w:val="en-US"/>
        </w:rPr>
        <w:t xml:space="preserve"> </w:t>
      </w:r>
      <w:r w:rsidRPr="00A711A8">
        <w:rPr>
          <w:color w:val="333333"/>
          <w:sz w:val="22"/>
          <w:szCs w:val="22"/>
          <w:lang w:val="en-US"/>
        </w:rPr>
        <w:t>solutions in active and passive management, in traditional or real assets. This offering is enhanced with IT tools and services to cover the entire savings value chain. A subsidiary of the Crédit Agricole group and listed on the stock exchange, Amundi currently manages more than €1.95 trillion of assets</w:t>
      </w:r>
      <w:r w:rsidR="00FB7904">
        <w:rPr>
          <w:color w:val="333333"/>
          <w:sz w:val="22"/>
          <w:szCs w:val="22"/>
          <w:lang w:val="en-US"/>
        </w:rPr>
        <w:t xml:space="preserve"> </w:t>
      </w:r>
      <w:r w:rsidR="00DA1E26" w:rsidRPr="00A373FE">
        <w:rPr>
          <w:color w:val="333333"/>
          <w:sz w:val="22"/>
          <w:szCs w:val="22"/>
          <w:lang w:val="en-US"/>
        </w:rPr>
        <w:t>[2]</w:t>
      </w:r>
      <w:r w:rsidRPr="00A711A8">
        <w:rPr>
          <w:color w:val="333333"/>
          <w:sz w:val="22"/>
          <w:szCs w:val="22"/>
          <w:lang w:val="en-US"/>
        </w:rPr>
        <w:t>.</w:t>
      </w:r>
    </w:p>
    <w:p w14:paraId="75629C55" w14:textId="77777777" w:rsidR="00A711A8" w:rsidRPr="00A711A8" w:rsidRDefault="00A711A8" w:rsidP="00FB7904">
      <w:pPr>
        <w:jc w:val="both"/>
        <w:rPr>
          <w:color w:val="333333"/>
          <w:sz w:val="22"/>
          <w:szCs w:val="22"/>
          <w:lang w:val="en-US"/>
        </w:rPr>
      </w:pPr>
    </w:p>
    <w:p w14:paraId="631464E2" w14:textId="0EFD1CAC" w:rsidR="00A711A8" w:rsidRPr="00F96986" w:rsidRDefault="00A711A8" w:rsidP="00FB7904">
      <w:pPr>
        <w:jc w:val="both"/>
        <w:rPr>
          <w:color w:val="333333"/>
          <w:sz w:val="22"/>
          <w:szCs w:val="22"/>
          <w:lang w:val="en-US"/>
        </w:rPr>
      </w:pPr>
      <w:r w:rsidRPr="00F96986">
        <w:rPr>
          <w:color w:val="333333"/>
          <w:sz w:val="22"/>
          <w:szCs w:val="22"/>
          <w:lang w:val="en-US"/>
        </w:rPr>
        <w:t>With its six international investment hubs</w:t>
      </w:r>
      <w:r w:rsidR="00FB7904">
        <w:rPr>
          <w:color w:val="333333"/>
          <w:sz w:val="22"/>
          <w:szCs w:val="22"/>
          <w:lang w:val="en-US"/>
        </w:rPr>
        <w:t xml:space="preserve"> </w:t>
      </w:r>
      <w:r w:rsidR="009851B6" w:rsidRPr="00A373FE">
        <w:rPr>
          <w:color w:val="333333"/>
          <w:sz w:val="22"/>
          <w:szCs w:val="22"/>
          <w:lang w:val="en-US"/>
        </w:rPr>
        <w:t>[3],</w:t>
      </w:r>
      <w:r w:rsidRPr="00F96986">
        <w:rPr>
          <w:color w:val="333333"/>
          <w:sz w:val="22"/>
          <w:szCs w:val="22"/>
          <w:lang w:val="en-US"/>
        </w:rPr>
        <w:t xml:space="preserve"> financial and extra-financial research capabilities and long-standing commitment to responsible investment, Amundi is a key player in the asset management landscape.</w:t>
      </w:r>
    </w:p>
    <w:p w14:paraId="206F239F" w14:textId="77777777" w:rsidR="00A711A8" w:rsidRPr="00F96986" w:rsidRDefault="00A711A8" w:rsidP="00FB7904">
      <w:pPr>
        <w:jc w:val="both"/>
        <w:rPr>
          <w:color w:val="333333"/>
          <w:sz w:val="22"/>
          <w:szCs w:val="22"/>
          <w:lang w:val="en-US"/>
        </w:rPr>
      </w:pPr>
    </w:p>
    <w:p w14:paraId="456C044D" w14:textId="62B6455B" w:rsidR="00A711A8" w:rsidRPr="00F96986" w:rsidRDefault="00A711A8" w:rsidP="00FB7904">
      <w:pPr>
        <w:jc w:val="both"/>
        <w:rPr>
          <w:color w:val="333333"/>
          <w:sz w:val="22"/>
          <w:szCs w:val="22"/>
          <w:lang w:val="en-US"/>
        </w:rPr>
      </w:pPr>
      <w:r w:rsidRPr="00F96986">
        <w:rPr>
          <w:color w:val="333333"/>
          <w:sz w:val="22"/>
          <w:szCs w:val="22"/>
          <w:lang w:val="en-US"/>
        </w:rPr>
        <w:t>Amundi clients benefit from the expertise and advice of 5,400 employees in 35 countries.</w:t>
      </w:r>
    </w:p>
    <w:p w14:paraId="16E8E62A" w14:textId="77777777" w:rsidR="00AA2B4C" w:rsidRPr="00A373FE" w:rsidRDefault="00AA2B4C" w:rsidP="00AA2B4C">
      <w:pPr>
        <w:rPr>
          <w:color w:val="000000"/>
          <w:sz w:val="27"/>
          <w:szCs w:val="27"/>
          <w:lang w:eastAsia="en-GB"/>
        </w:rPr>
      </w:pPr>
      <w:r w:rsidRPr="00A373FE">
        <w:rPr>
          <w:color w:val="000000"/>
          <w:sz w:val="27"/>
          <w:szCs w:val="27"/>
          <w:lang w:eastAsia="en-GB"/>
        </w:rPr>
        <w:t> </w:t>
      </w:r>
    </w:p>
    <w:p w14:paraId="2D85066F" w14:textId="77777777" w:rsidR="00E5220D" w:rsidRDefault="00E5220D" w:rsidP="00817519">
      <w:pPr>
        <w:pStyle w:val="NormalWeb"/>
        <w:shd w:val="clear" w:color="auto" w:fill="FFFFFF"/>
        <w:spacing w:before="0" w:beforeAutospacing="0" w:after="150" w:afterAutospacing="0"/>
        <w:jc w:val="both"/>
        <w:rPr>
          <w:rStyle w:val="lev"/>
          <w:i/>
          <w:iCs/>
          <w:color w:val="333333"/>
          <w:sz w:val="22"/>
          <w:szCs w:val="22"/>
          <w:lang w:val="en-US"/>
        </w:rPr>
      </w:pPr>
      <w:r w:rsidRPr="00E5220D">
        <w:rPr>
          <w:rStyle w:val="lev"/>
          <w:i/>
          <w:iCs/>
          <w:color w:val="333333"/>
          <w:sz w:val="22"/>
          <w:szCs w:val="22"/>
          <w:lang w:val="en-US"/>
        </w:rPr>
        <w:t>Amundi, a trusted partner, working every day in the interest of its clients and society</w:t>
      </w:r>
    </w:p>
    <w:p w14:paraId="1CDB73E8" w14:textId="3530D5C0" w:rsidR="00817519" w:rsidRPr="00A373FE" w:rsidRDefault="00DD2AC2" w:rsidP="00817519">
      <w:pPr>
        <w:pStyle w:val="NormalWeb"/>
        <w:shd w:val="clear" w:color="auto" w:fill="FFFFFF"/>
        <w:spacing w:before="0" w:beforeAutospacing="0" w:after="150" w:afterAutospacing="0"/>
        <w:jc w:val="both"/>
        <w:rPr>
          <w:color w:val="333333"/>
          <w:sz w:val="22"/>
          <w:szCs w:val="22"/>
          <w:lang w:val="en-US"/>
        </w:rPr>
      </w:pPr>
      <w:hyperlink r:id="rId15" w:history="1">
        <w:r w:rsidR="00817519" w:rsidRPr="00A373FE">
          <w:rPr>
            <w:rStyle w:val="Lienhypertexte"/>
            <w:color w:val="274F73"/>
            <w:sz w:val="22"/>
            <w:szCs w:val="22"/>
            <w:lang w:val="en-US"/>
          </w:rPr>
          <w:t>www.amundi.com</w:t>
        </w:r>
      </w:hyperlink>
      <w:r w:rsidR="00817519" w:rsidRPr="00A373FE">
        <w:rPr>
          <w:color w:val="333333"/>
          <w:sz w:val="22"/>
          <w:szCs w:val="22"/>
          <w:lang w:val="en-US"/>
        </w:rPr>
        <w:t>    </w:t>
      </w:r>
    </w:p>
    <w:p w14:paraId="29FA58E9" w14:textId="77777777" w:rsidR="00817519" w:rsidRPr="00DD2AC2" w:rsidRDefault="00817519" w:rsidP="00817519">
      <w:pPr>
        <w:pStyle w:val="NormalWeb"/>
        <w:shd w:val="clear" w:color="auto" w:fill="FFFFFF"/>
        <w:spacing w:before="0" w:beforeAutospacing="0" w:after="150" w:afterAutospacing="0"/>
        <w:rPr>
          <w:color w:val="333333"/>
          <w:sz w:val="21"/>
          <w:szCs w:val="21"/>
          <w:lang w:val="en-US"/>
        </w:rPr>
      </w:pPr>
      <w:r w:rsidRPr="00DD2AC2">
        <w:rPr>
          <w:color w:val="333333"/>
          <w:sz w:val="21"/>
          <w:szCs w:val="21"/>
          <w:lang w:val="en-US"/>
        </w:rPr>
        <w:t> </w:t>
      </w:r>
    </w:p>
    <w:p w14:paraId="04319D05" w14:textId="75082D03" w:rsidR="00817519" w:rsidRPr="00DD2AC2" w:rsidRDefault="00B842BA" w:rsidP="00B842BA">
      <w:pPr>
        <w:pStyle w:val="Paragraphedeliste"/>
        <w:numPr>
          <w:ilvl w:val="0"/>
          <w:numId w:val="16"/>
        </w:numPr>
        <w:autoSpaceDE w:val="0"/>
        <w:autoSpaceDN w:val="0"/>
        <w:spacing w:before="40" w:after="40" w:line="240" w:lineRule="atLeast"/>
        <w:rPr>
          <w:rFonts w:ascii="Times New Roman" w:hAnsi="Times New Roman" w:cs="Times New Roman"/>
          <w:sz w:val="20"/>
          <w:szCs w:val="16"/>
          <w:lang w:val="en-US"/>
        </w:rPr>
      </w:pPr>
      <w:r w:rsidRPr="00DD2AC2">
        <w:rPr>
          <w:rFonts w:ascii="Times New Roman" w:hAnsi="Times New Roman" w:cs="Times New Roman"/>
          <w:i/>
          <w:iCs/>
          <w:sz w:val="20"/>
          <w:szCs w:val="16"/>
          <w:lang w:val="en-US"/>
        </w:rPr>
        <w:t>Source: IPE “Top 500 Asset Managers” published in June 2023, based on assets under management as at 31/12/2022</w:t>
      </w:r>
    </w:p>
    <w:p w14:paraId="7E616908" w14:textId="7C5B45B1" w:rsidR="00817519" w:rsidRPr="00DD2AC2" w:rsidRDefault="00003F18" w:rsidP="00003F18">
      <w:pPr>
        <w:pStyle w:val="Paragraphedeliste"/>
        <w:numPr>
          <w:ilvl w:val="0"/>
          <w:numId w:val="16"/>
        </w:numPr>
        <w:autoSpaceDE w:val="0"/>
        <w:autoSpaceDN w:val="0"/>
        <w:spacing w:before="40" w:after="40" w:line="240" w:lineRule="atLeast"/>
        <w:rPr>
          <w:rFonts w:ascii="Times New Roman" w:hAnsi="Times New Roman" w:cs="Times New Roman"/>
          <w:sz w:val="20"/>
          <w:szCs w:val="16"/>
          <w:lang w:val="en-US"/>
        </w:rPr>
      </w:pPr>
      <w:r w:rsidRPr="00DD2AC2">
        <w:rPr>
          <w:rFonts w:ascii="Times New Roman" w:hAnsi="Times New Roman" w:cs="Times New Roman"/>
          <w:i/>
          <w:iCs/>
          <w:sz w:val="20"/>
          <w:szCs w:val="16"/>
          <w:lang w:val="en-US"/>
        </w:rPr>
        <w:t xml:space="preserve">Amundi data as at 30/06/2023 </w:t>
      </w:r>
    </w:p>
    <w:p w14:paraId="7A075C27" w14:textId="43D8F548" w:rsidR="00817519" w:rsidRPr="00DD2AC2" w:rsidRDefault="00EC6F2C" w:rsidP="00EC6F2C">
      <w:pPr>
        <w:pStyle w:val="Paragraphedeliste"/>
        <w:numPr>
          <w:ilvl w:val="0"/>
          <w:numId w:val="16"/>
        </w:numPr>
        <w:tabs>
          <w:tab w:val="left" w:pos="4845"/>
        </w:tabs>
        <w:autoSpaceDE w:val="0"/>
        <w:autoSpaceDN w:val="0"/>
        <w:spacing w:before="40" w:after="40" w:line="240" w:lineRule="atLeast"/>
        <w:rPr>
          <w:rFonts w:ascii="Times New Roman" w:hAnsi="Times New Roman" w:cs="Times New Roman"/>
          <w:i/>
          <w:iCs/>
          <w:sz w:val="20"/>
          <w:szCs w:val="16"/>
          <w:lang w:val="en-US"/>
        </w:rPr>
      </w:pPr>
      <w:r w:rsidRPr="00DD2AC2">
        <w:rPr>
          <w:rFonts w:ascii="Times New Roman" w:hAnsi="Times New Roman" w:cs="Times New Roman"/>
          <w:i/>
          <w:iCs/>
          <w:sz w:val="20"/>
          <w:szCs w:val="16"/>
          <w:lang w:val="en-US"/>
        </w:rPr>
        <w:t>Boston, Dublin, London, Milan, Paris and Tokyo</w:t>
      </w:r>
      <w:r w:rsidRPr="00DD2AC2">
        <w:rPr>
          <w:rFonts w:ascii="Times New Roman" w:hAnsi="Times New Roman" w:cs="Times New Roman"/>
          <w:i/>
          <w:iCs/>
          <w:sz w:val="20"/>
          <w:szCs w:val="16"/>
          <w:lang w:val="en-US"/>
        </w:rPr>
        <w:tab/>
      </w:r>
    </w:p>
    <w:sectPr w:rsidR="00817519" w:rsidRPr="00DD2AC2" w:rsidSect="00FD7765">
      <w:pgSz w:w="11906" w:h="16838"/>
      <w:pgMar w:top="851" w:right="1417" w:bottom="851" w:left="141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AA38" w14:textId="77777777" w:rsidR="00AC2833" w:rsidRDefault="00AC2833" w:rsidP="009D4080">
      <w:r>
        <w:separator/>
      </w:r>
    </w:p>
  </w:endnote>
  <w:endnote w:type="continuationSeparator" w:id="0">
    <w:p w14:paraId="1FA416CD" w14:textId="77777777" w:rsidR="00AC2833" w:rsidRDefault="00AC2833" w:rsidP="009D4080">
      <w:r>
        <w:continuationSeparator/>
      </w:r>
    </w:p>
  </w:endnote>
  <w:endnote w:type="continuationNotice" w:id="1">
    <w:p w14:paraId="52315DD8" w14:textId="77777777" w:rsidR="00AC2833" w:rsidRDefault="00AC2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96E8" w14:textId="77777777" w:rsidR="00AC2833" w:rsidRDefault="00AC2833" w:rsidP="009D4080">
      <w:r>
        <w:separator/>
      </w:r>
    </w:p>
  </w:footnote>
  <w:footnote w:type="continuationSeparator" w:id="0">
    <w:p w14:paraId="0A779897" w14:textId="77777777" w:rsidR="00AC2833" w:rsidRDefault="00AC2833" w:rsidP="009D4080">
      <w:r>
        <w:continuationSeparator/>
      </w:r>
    </w:p>
  </w:footnote>
  <w:footnote w:type="continuationNotice" w:id="1">
    <w:p w14:paraId="22CA106E" w14:textId="77777777" w:rsidR="00AC2833" w:rsidRDefault="00AC28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226"/>
    <w:multiLevelType w:val="hybridMultilevel"/>
    <w:tmpl w:val="660897F6"/>
    <w:lvl w:ilvl="0" w:tplc="2A567776">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34AD7"/>
    <w:multiLevelType w:val="hybridMultilevel"/>
    <w:tmpl w:val="A218E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AF3757"/>
    <w:multiLevelType w:val="hybridMultilevel"/>
    <w:tmpl w:val="A94C7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356FA4"/>
    <w:multiLevelType w:val="hybridMultilevel"/>
    <w:tmpl w:val="8FD2F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355450"/>
    <w:multiLevelType w:val="hybridMultilevel"/>
    <w:tmpl w:val="A5B814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CC0880"/>
    <w:multiLevelType w:val="hybridMultilevel"/>
    <w:tmpl w:val="794CD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DE5240"/>
    <w:multiLevelType w:val="multilevel"/>
    <w:tmpl w:val="756A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86D23"/>
    <w:multiLevelType w:val="hybridMultilevel"/>
    <w:tmpl w:val="4836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20C43"/>
    <w:multiLevelType w:val="hybridMultilevel"/>
    <w:tmpl w:val="0DB2ACA6"/>
    <w:lvl w:ilvl="0" w:tplc="040C0001">
      <w:start w:val="1"/>
      <w:numFmt w:val="bullet"/>
      <w:lvlText w:val=""/>
      <w:lvlJc w:val="left"/>
      <w:pPr>
        <w:ind w:left="720" w:hanging="360"/>
      </w:pPr>
      <w:rPr>
        <w:rFonts w:ascii="Symbol" w:hAnsi="Symbol" w:hint="default"/>
      </w:rPr>
    </w:lvl>
    <w:lvl w:ilvl="1" w:tplc="CC964D5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691D36"/>
    <w:multiLevelType w:val="hybridMultilevel"/>
    <w:tmpl w:val="C50006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03A68E0"/>
    <w:multiLevelType w:val="hybridMultilevel"/>
    <w:tmpl w:val="544A17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44775A"/>
    <w:multiLevelType w:val="hybridMultilevel"/>
    <w:tmpl w:val="2D9E9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16657E"/>
    <w:multiLevelType w:val="hybridMultilevel"/>
    <w:tmpl w:val="D33066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CA2E1B"/>
    <w:multiLevelType w:val="hybridMultilevel"/>
    <w:tmpl w:val="1F0099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BD442DC"/>
    <w:multiLevelType w:val="hybridMultilevel"/>
    <w:tmpl w:val="656A081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7571C8"/>
    <w:multiLevelType w:val="hybridMultilevel"/>
    <w:tmpl w:val="A76A13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0366543">
    <w:abstractNumId w:val="14"/>
  </w:num>
  <w:num w:numId="2" w16cid:durableId="1406147594">
    <w:abstractNumId w:val="9"/>
  </w:num>
  <w:num w:numId="3" w16cid:durableId="1687367075">
    <w:abstractNumId w:val="5"/>
  </w:num>
  <w:num w:numId="4" w16cid:durableId="918178526">
    <w:abstractNumId w:val="13"/>
  </w:num>
  <w:num w:numId="5" w16cid:durableId="1149056412">
    <w:abstractNumId w:val="8"/>
  </w:num>
  <w:num w:numId="6" w16cid:durableId="793527382">
    <w:abstractNumId w:val="10"/>
  </w:num>
  <w:num w:numId="7" w16cid:durableId="1854490324">
    <w:abstractNumId w:val="12"/>
  </w:num>
  <w:num w:numId="8" w16cid:durableId="591663010">
    <w:abstractNumId w:val="15"/>
  </w:num>
  <w:num w:numId="9" w16cid:durableId="1777359745">
    <w:abstractNumId w:val="4"/>
  </w:num>
  <w:num w:numId="10" w16cid:durableId="1972975749">
    <w:abstractNumId w:val="1"/>
  </w:num>
  <w:num w:numId="11" w16cid:durableId="1394356506">
    <w:abstractNumId w:val="11"/>
  </w:num>
  <w:num w:numId="12" w16cid:durableId="318533706">
    <w:abstractNumId w:val="3"/>
  </w:num>
  <w:num w:numId="13" w16cid:durableId="370232615">
    <w:abstractNumId w:val="7"/>
  </w:num>
  <w:num w:numId="14" w16cid:durableId="1663267986">
    <w:abstractNumId w:val="6"/>
  </w:num>
  <w:num w:numId="15" w16cid:durableId="772673803">
    <w:abstractNumId w:val="2"/>
  </w:num>
  <w:num w:numId="16" w16cid:durableId="140977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4C"/>
    <w:rsid w:val="00002DF3"/>
    <w:rsid w:val="00003F18"/>
    <w:rsid w:val="00031B68"/>
    <w:rsid w:val="00051A6A"/>
    <w:rsid w:val="00065624"/>
    <w:rsid w:val="000802CE"/>
    <w:rsid w:val="000815F5"/>
    <w:rsid w:val="0008461D"/>
    <w:rsid w:val="000901C3"/>
    <w:rsid w:val="000956FA"/>
    <w:rsid w:val="00097B48"/>
    <w:rsid w:val="000A219A"/>
    <w:rsid w:val="000B1961"/>
    <w:rsid w:val="00104D78"/>
    <w:rsid w:val="001211D1"/>
    <w:rsid w:val="00122B81"/>
    <w:rsid w:val="00132C94"/>
    <w:rsid w:val="00176FC1"/>
    <w:rsid w:val="001F0F09"/>
    <w:rsid w:val="002009B0"/>
    <w:rsid w:val="00235B40"/>
    <w:rsid w:val="002516AE"/>
    <w:rsid w:val="002903BE"/>
    <w:rsid w:val="002B0C63"/>
    <w:rsid w:val="002B4BAF"/>
    <w:rsid w:val="002E46E1"/>
    <w:rsid w:val="002E6992"/>
    <w:rsid w:val="002F5F3F"/>
    <w:rsid w:val="002F7963"/>
    <w:rsid w:val="0031515E"/>
    <w:rsid w:val="00333D34"/>
    <w:rsid w:val="003354F3"/>
    <w:rsid w:val="00366EB4"/>
    <w:rsid w:val="00376304"/>
    <w:rsid w:val="00383F8F"/>
    <w:rsid w:val="003934AF"/>
    <w:rsid w:val="00394E54"/>
    <w:rsid w:val="003A0CB8"/>
    <w:rsid w:val="003A5534"/>
    <w:rsid w:val="003C040B"/>
    <w:rsid w:val="003C284B"/>
    <w:rsid w:val="003D5F37"/>
    <w:rsid w:val="00400627"/>
    <w:rsid w:val="004726C7"/>
    <w:rsid w:val="004B38CF"/>
    <w:rsid w:val="004C46C8"/>
    <w:rsid w:val="004E09A7"/>
    <w:rsid w:val="004F340D"/>
    <w:rsid w:val="004F7DFF"/>
    <w:rsid w:val="0051560E"/>
    <w:rsid w:val="005535FA"/>
    <w:rsid w:val="00556A29"/>
    <w:rsid w:val="00561BDF"/>
    <w:rsid w:val="0058710B"/>
    <w:rsid w:val="005B4B3A"/>
    <w:rsid w:val="005B5310"/>
    <w:rsid w:val="005B5A9D"/>
    <w:rsid w:val="00601FAA"/>
    <w:rsid w:val="00624321"/>
    <w:rsid w:val="00632DF9"/>
    <w:rsid w:val="00643C73"/>
    <w:rsid w:val="00655E6E"/>
    <w:rsid w:val="006745C2"/>
    <w:rsid w:val="006B5839"/>
    <w:rsid w:val="006D59B6"/>
    <w:rsid w:val="006E39CB"/>
    <w:rsid w:val="006E4408"/>
    <w:rsid w:val="006F4CCE"/>
    <w:rsid w:val="00717C4C"/>
    <w:rsid w:val="00724904"/>
    <w:rsid w:val="007252E4"/>
    <w:rsid w:val="00726668"/>
    <w:rsid w:val="00742B2D"/>
    <w:rsid w:val="007430C1"/>
    <w:rsid w:val="007B1FE7"/>
    <w:rsid w:val="007C0472"/>
    <w:rsid w:val="007D64D8"/>
    <w:rsid w:val="00817519"/>
    <w:rsid w:val="00845BBD"/>
    <w:rsid w:val="00847ECE"/>
    <w:rsid w:val="008611C0"/>
    <w:rsid w:val="008741C0"/>
    <w:rsid w:val="008B655C"/>
    <w:rsid w:val="009114D6"/>
    <w:rsid w:val="009204D9"/>
    <w:rsid w:val="0092733D"/>
    <w:rsid w:val="00942189"/>
    <w:rsid w:val="00970666"/>
    <w:rsid w:val="00976C69"/>
    <w:rsid w:val="00981B6A"/>
    <w:rsid w:val="009851B6"/>
    <w:rsid w:val="009A0302"/>
    <w:rsid w:val="009D4080"/>
    <w:rsid w:val="009E700F"/>
    <w:rsid w:val="009F17C9"/>
    <w:rsid w:val="00A02B4A"/>
    <w:rsid w:val="00A11A6E"/>
    <w:rsid w:val="00A24FB7"/>
    <w:rsid w:val="00A373FE"/>
    <w:rsid w:val="00A37450"/>
    <w:rsid w:val="00A70F70"/>
    <w:rsid w:val="00A711A8"/>
    <w:rsid w:val="00A87260"/>
    <w:rsid w:val="00A947BA"/>
    <w:rsid w:val="00AA0E15"/>
    <w:rsid w:val="00AA2B4C"/>
    <w:rsid w:val="00AB076F"/>
    <w:rsid w:val="00AC2833"/>
    <w:rsid w:val="00B12C2B"/>
    <w:rsid w:val="00B81A20"/>
    <w:rsid w:val="00B842BA"/>
    <w:rsid w:val="00C209B1"/>
    <w:rsid w:val="00C35ECC"/>
    <w:rsid w:val="00C3672E"/>
    <w:rsid w:val="00C66BBD"/>
    <w:rsid w:val="00C92231"/>
    <w:rsid w:val="00C97DE7"/>
    <w:rsid w:val="00CF7A6D"/>
    <w:rsid w:val="00D17386"/>
    <w:rsid w:val="00D35410"/>
    <w:rsid w:val="00D825B5"/>
    <w:rsid w:val="00DA1E26"/>
    <w:rsid w:val="00DD2AC2"/>
    <w:rsid w:val="00DD6522"/>
    <w:rsid w:val="00E00E55"/>
    <w:rsid w:val="00E440F9"/>
    <w:rsid w:val="00E5220D"/>
    <w:rsid w:val="00E61927"/>
    <w:rsid w:val="00E77A62"/>
    <w:rsid w:val="00E8255F"/>
    <w:rsid w:val="00E83D10"/>
    <w:rsid w:val="00E90831"/>
    <w:rsid w:val="00EA25D3"/>
    <w:rsid w:val="00EC6F2C"/>
    <w:rsid w:val="00ED46AC"/>
    <w:rsid w:val="00F24A59"/>
    <w:rsid w:val="00F72D02"/>
    <w:rsid w:val="00F7336C"/>
    <w:rsid w:val="00F82E36"/>
    <w:rsid w:val="00F862C7"/>
    <w:rsid w:val="00F96986"/>
    <w:rsid w:val="00FA02F2"/>
    <w:rsid w:val="00FB2CEC"/>
    <w:rsid w:val="00FB7904"/>
    <w:rsid w:val="00FD7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D8AE"/>
  <w15:chartTrackingRefBased/>
  <w15:docId w15:val="{690F13EF-8E56-45DF-B7E8-FA07741A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4C"/>
    <w:pPr>
      <w:spacing w:after="0" w:line="240" w:lineRule="auto"/>
    </w:pPr>
    <w:rPr>
      <w:rFonts w:ascii="Times New Roman" w:eastAsia="Times New Roman" w:hAnsi="Times New Roman" w:cs="Times New Roman"/>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A2B4C"/>
    <w:rPr>
      <w:color w:val="0000FF"/>
      <w:u w:val="single"/>
    </w:rPr>
  </w:style>
  <w:style w:type="paragraph" w:styleId="En-tte">
    <w:name w:val="header"/>
    <w:basedOn w:val="Normal"/>
    <w:link w:val="En-tteCar"/>
    <w:rsid w:val="00AA2B4C"/>
    <w:pPr>
      <w:tabs>
        <w:tab w:val="center" w:pos="4536"/>
        <w:tab w:val="right" w:pos="9072"/>
      </w:tabs>
    </w:pPr>
    <w:rPr>
      <w:sz w:val="20"/>
      <w:szCs w:val="20"/>
    </w:rPr>
  </w:style>
  <w:style w:type="character" w:customStyle="1" w:styleId="En-tteCar">
    <w:name w:val="En-tête Car"/>
    <w:basedOn w:val="Policepardfaut"/>
    <w:link w:val="En-tte"/>
    <w:rsid w:val="00AA2B4C"/>
    <w:rPr>
      <w:rFonts w:ascii="Times New Roman" w:eastAsia="Times New Roman" w:hAnsi="Times New Roman" w:cs="Times New Roman"/>
      <w:sz w:val="20"/>
      <w:szCs w:val="20"/>
      <w:lang w:val="en-GB" w:eastAsia="fr-FR"/>
    </w:rPr>
  </w:style>
  <w:style w:type="paragraph" w:styleId="Paragraphedeliste">
    <w:name w:val="List Paragraph"/>
    <w:basedOn w:val="Normal"/>
    <w:uiPriority w:val="34"/>
    <w:qFormat/>
    <w:rsid w:val="00AA2B4C"/>
    <w:pPr>
      <w:tabs>
        <w:tab w:val="left" w:pos="709"/>
      </w:tabs>
      <w:spacing w:after="240" w:line="312" w:lineRule="auto"/>
      <w:ind w:left="720"/>
      <w:contextualSpacing/>
      <w:jc w:val="both"/>
    </w:pPr>
    <w:rPr>
      <w:rFonts w:ascii="Calibri" w:eastAsiaTheme="minorHAnsi" w:hAnsi="Calibri" w:cstheme="minorBidi"/>
      <w:sz w:val="22"/>
      <w:szCs w:val="22"/>
      <w:lang w:eastAsia="en-US"/>
    </w:rPr>
  </w:style>
  <w:style w:type="paragraph" w:styleId="Notedebasdepage">
    <w:name w:val="footnote text"/>
    <w:basedOn w:val="Normal"/>
    <w:link w:val="NotedebasdepageCar"/>
    <w:uiPriority w:val="99"/>
    <w:semiHidden/>
    <w:rsid w:val="009D4080"/>
    <w:rPr>
      <w:sz w:val="20"/>
      <w:szCs w:val="20"/>
    </w:rPr>
  </w:style>
  <w:style w:type="character" w:customStyle="1" w:styleId="NotedebasdepageCar">
    <w:name w:val="Note de bas de page Car"/>
    <w:basedOn w:val="Policepardfaut"/>
    <w:link w:val="Notedebasdepage"/>
    <w:uiPriority w:val="99"/>
    <w:semiHidden/>
    <w:rsid w:val="009D4080"/>
    <w:rPr>
      <w:rFonts w:ascii="Times New Roman" w:eastAsia="Times New Roman" w:hAnsi="Times New Roman" w:cs="Times New Roman"/>
      <w:sz w:val="20"/>
      <w:szCs w:val="20"/>
      <w:lang w:val="en-GB" w:eastAsia="fr-FR"/>
    </w:rPr>
  </w:style>
  <w:style w:type="character" w:styleId="Appelnotedebasdep">
    <w:name w:val="footnote reference"/>
    <w:basedOn w:val="Policepardfaut"/>
    <w:uiPriority w:val="99"/>
    <w:semiHidden/>
    <w:rsid w:val="009D4080"/>
    <w:rPr>
      <w:rFonts w:cs="Times New Roman"/>
      <w:vertAlign w:val="superscript"/>
    </w:rPr>
  </w:style>
  <w:style w:type="character" w:styleId="Lienhypertextesuivivisit">
    <w:name w:val="FollowedHyperlink"/>
    <w:basedOn w:val="Policepardfaut"/>
    <w:uiPriority w:val="99"/>
    <w:semiHidden/>
    <w:unhideWhenUsed/>
    <w:rsid w:val="00624321"/>
    <w:rPr>
      <w:color w:val="954F72" w:themeColor="followedHyperlink"/>
      <w:u w:val="single"/>
    </w:rPr>
  </w:style>
  <w:style w:type="paragraph" w:styleId="NormalWeb">
    <w:name w:val="Normal (Web)"/>
    <w:basedOn w:val="Normal"/>
    <w:uiPriority w:val="99"/>
    <w:semiHidden/>
    <w:unhideWhenUsed/>
    <w:rsid w:val="00817519"/>
    <w:pPr>
      <w:spacing w:before="100" w:beforeAutospacing="1" w:after="100" w:afterAutospacing="1"/>
    </w:pPr>
    <w:rPr>
      <w:lang w:val="fr-FR"/>
    </w:rPr>
  </w:style>
  <w:style w:type="character" w:styleId="Accentuation">
    <w:name w:val="Emphasis"/>
    <w:basedOn w:val="Policepardfaut"/>
    <w:uiPriority w:val="20"/>
    <w:qFormat/>
    <w:rsid w:val="00817519"/>
    <w:rPr>
      <w:i/>
      <w:iCs/>
    </w:rPr>
  </w:style>
  <w:style w:type="character" w:styleId="lev">
    <w:name w:val="Strong"/>
    <w:basedOn w:val="Policepardfaut"/>
    <w:uiPriority w:val="22"/>
    <w:qFormat/>
    <w:rsid w:val="00817519"/>
    <w:rPr>
      <w:b/>
      <w:bCs/>
    </w:rPr>
  </w:style>
  <w:style w:type="character" w:styleId="Mentionnonrsolue">
    <w:name w:val="Unresolved Mention"/>
    <w:basedOn w:val="Policepardfaut"/>
    <w:uiPriority w:val="99"/>
    <w:semiHidden/>
    <w:unhideWhenUsed/>
    <w:rsid w:val="00176FC1"/>
    <w:rPr>
      <w:color w:val="605E5C"/>
      <w:shd w:val="clear" w:color="auto" w:fill="E1DFDD"/>
    </w:rPr>
  </w:style>
  <w:style w:type="paragraph" w:styleId="Rvision">
    <w:name w:val="Revision"/>
    <w:hidden/>
    <w:uiPriority w:val="99"/>
    <w:semiHidden/>
    <w:rsid w:val="003A0CB8"/>
    <w:pPr>
      <w:spacing w:after="0" w:line="240" w:lineRule="auto"/>
    </w:pPr>
    <w:rPr>
      <w:rFonts w:ascii="Times New Roman" w:eastAsia="Times New Roman" w:hAnsi="Times New Roman" w:cs="Times New Roman"/>
      <w:sz w:val="24"/>
      <w:szCs w:val="24"/>
      <w:lang w:val="en-GB" w:eastAsia="fr-FR"/>
    </w:rPr>
  </w:style>
  <w:style w:type="paragraph" w:styleId="Pieddepage">
    <w:name w:val="footer"/>
    <w:basedOn w:val="Normal"/>
    <w:link w:val="PieddepageCar"/>
    <w:uiPriority w:val="99"/>
    <w:semiHidden/>
    <w:unhideWhenUsed/>
    <w:rsid w:val="00366EB4"/>
    <w:pPr>
      <w:tabs>
        <w:tab w:val="center" w:pos="4536"/>
        <w:tab w:val="right" w:pos="9072"/>
      </w:tabs>
    </w:pPr>
  </w:style>
  <w:style w:type="character" w:customStyle="1" w:styleId="PieddepageCar">
    <w:name w:val="Pied de page Car"/>
    <w:basedOn w:val="Policepardfaut"/>
    <w:link w:val="Pieddepage"/>
    <w:uiPriority w:val="99"/>
    <w:semiHidden/>
    <w:rsid w:val="00366EB4"/>
    <w:rPr>
      <w:rFonts w:ascii="Times New Roman" w:eastAsia="Times New Roman" w:hAnsi="Times New Roman" w:cs="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59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impact.edhec.edu/sites/ercii/files/pdf/ercii_publication_impact_climate_change_news_0623.pdf" TargetMode="External"/><Relationship Id="rId13" Type="http://schemas.openxmlformats.org/officeDocument/2006/relationships/hyperlink" Target="https://climateimpact.edhec.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limateimpact.edhe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ud.gauchon@climateimpactedhec.com" TargetMode="External"/><Relationship Id="rId5" Type="http://schemas.openxmlformats.org/officeDocument/2006/relationships/footnotes" Target="footnotes.xml"/><Relationship Id="rId15" Type="http://schemas.openxmlformats.org/officeDocument/2006/relationships/hyperlink" Target="http://www.amundi.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limateimpact.edhec.edu/sites/ercii/files/pdf/ercii_publication_impact_climate_change_news_0623.pdf" TargetMode="External"/><Relationship Id="rId14" Type="http://schemas.openxmlformats.org/officeDocument/2006/relationships/hyperlink" Target="https://edhec.infrastructure.institu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3</Pages>
  <Words>1314</Words>
  <Characters>7227</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EDHEC</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GAUCHON Maud</dc:creator>
  <cp:keywords/>
  <dc:description/>
  <cp:lastModifiedBy>GAUCHON Maud</cp:lastModifiedBy>
  <cp:revision>32</cp:revision>
  <dcterms:created xsi:type="dcterms:W3CDTF">2023-06-13T09:46:00Z</dcterms:created>
  <dcterms:modified xsi:type="dcterms:W3CDTF">2023-09-12T08:19:00Z</dcterms:modified>
</cp:coreProperties>
</file>